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1F" w:rsidRPr="004E0D87" w:rsidRDefault="00113BAE" w:rsidP="00A0546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BAE" w:rsidRPr="00067BDC" w:rsidRDefault="000E5875" w:rsidP="00113BAE">
      <w:pPr>
        <w:pStyle w:val="a3"/>
        <w:rPr>
          <w:sz w:val="26"/>
          <w:szCs w:val="26"/>
        </w:rPr>
      </w:pPr>
      <w:r w:rsidRPr="000E5875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13BAE" w:rsidRPr="00067BDC" w:rsidRDefault="00113BAE" w:rsidP="00113BAE">
      <w:pPr>
        <w:pStyle w:val="a3"/>
        <w:rPr>
          <w:sz w:val="26"/>
          <w:szCs w:val="26"/>
        </w:rPr>
      </w:pPr>
    </w:p>
    <w:p w:rsidR="00001D7E" w:rsidRDefault="00001D7E" w:rsidP="00113BAE">
      <w:pPr>
        <w:pStyle w:val="a3"/>
        <w:rPr>
          <w:sz w:val="26"/>
          <w:szCs w:val="26"/>
        </w:rPr>
      </w:pPr>
    </w:p>
    <w:p w:rsidR="00001D7E" w:rsidRPr="00041453" w:rsidRDefault="00041453" w:rsidP="00113BAE">
      <w:pPr>
        <w:pStyle w:val="a3"/>
        <w:rPr>
          <w:sz w:val="36"/>
          <w:szCs w:val="3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sz w:val="36"/>
          <w:szCs w:val="36"/>
        </w:rPr>
        <w:t>ПРОЕКТ</w:t>
      </w:r>
    </w:p>
    <w:p w:rsidR="00113BAE" w:rsidRPr="00067BDC" w:rsidRDefault="00113BAE" w:rsidP="00113BAE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113BAE" w:rsidRPr="00067BDC" w:rsidRDefault="00113BAE" w:rsidP="00113BAE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113BAE" w:rsidRDefault="00113BAE" w:rsidP="00113BAE">
      <w:pPr>
        <w:pStyle w:val="1"/>
        <w:rPr>
          <w:sz w:val="26"/>
          <w:szCs w:val="26"/>
        </w:rPr>
      </w:pPr>
    </w:p>
    <w:p w:rsidR="00113BAE" w:rsidRPr="00C765CF" w:rsidRDefault="00113BAE" w:rsidP="00113BAE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113BAE" w:rsidRPr="00C765CF" w:rsidRDefault="00113BAE" w:rsidP="00113BAE">
      <w:pPr>
        <w:pStyle w:val="1"/>
        <w:rPr>
          <w:rFonts w:ascii="Arial" w:hAnsi="Arial" w:cs="Arial"/>
          <w:sz w:val="26"/>
          <w:szCs w:val="26"/>
        </w:rPr>
      </w:pPr>
    </w:p>
    <w:p w:rsidR="00113BAE" w:rsidRPr="003A3FED" w:rsidRDefault="00C94981" w:rsidP="00113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________2024</w:t>
      </w:r>
      <w:r w:rsidR="00113BAE" w:rsidRPr="004C1D2E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113BAE">
        <w:rPr>
          <w:rFonts w:ascii="Arial" w:hAnsi="Arial" w:cs="Arial"/>
        </w:rPr>
        <w:t xml:space="preserve">         </w:t>
      </w:r>
      <w:r w:rsidR="00113BAE" w:rsidRPr="004C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_____</w:t>
      </w:r>
    </w:p>
    <w:p w:rsidR="00113BAE" w:rsidRPr="004C1D2E" w:rsidRDefault="00113BAE" w:rsidP="004C1D2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13BAE" w:rsidRPr="00D42947" w:rsidRDefault="00113BAE" w:rsidP="00113BAE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D42947">
        <w:rPr>
          <w:rFonts w:ascii="Arial" w:hAnsi="Arial" w:cs="Arial"/>
          <w:b/>
          <w:sz w:val="18"/>
          <w:szCs w:val="18"/>
        </w:rPr>
        <w:t>г.Заринск</w:t>
      </w:r>
      <w:proofErr w:type="spellEnd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878"/>
      </w:tblGrid>
      <w:tr w:rsidR="00113BAE" w:rsidRPr="00067BDC" w:rsidTr="002D7953">
        <w:trPr>
          <w:trHeight w:val="1376"/>
        </w:trPr>
        <w:tc>
          <w:tcPr>
            <w:tcW w:w="4786" w:type="dxa"/>
          </w:tcPr>
          <w:p w:rsidR="00113BAE" w:rsidRPr="00113BAE" w:rsidRDefault="00113BAE" w:rsidP="000E587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земельного контроля </w:t>
            </w: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на территории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Заринского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района Алтайского края </w:t>
            </w: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на 202</w:t>
            </w:r>
            <w:r w:rsidR="00C9498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  <w:r w:rsidR="00E56839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год </w:t>
            </w:r>
          </w:p>
        </w:tc>
        <w:tc>
          <w:tcPr>
            <w:tcW w:w="4878" w:type="dxa"/>
          </w:tcPr>
          <w:p w:rsidR="00113BAE" w:rsidRPr="00067BDC" w:rsidRDefault="00113BAE" w:rsidP="002D7953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4C221F" w:rsidRPr="004E0D87" w:rsidRDefault="004C221F" w:rsidP="004C22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4C221F" w:rsidRPr="00113BAE" w:rsidRDefault="004C221F" w:rsidP="00A41DF1">
      <w:pPr>
        <w:widowControl w:val="0"/>
        <w:suppressAutoHyphens/>
        <w:spacing w:after="0" w:line="240" w:lineRule="auto"/>
        <w:ind w:firstLine="856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В соответствии со статьей 8.2 Федерального закона от 26</w:t>
      </w:r>
      <w:r w:rsidR="00B452D9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декабря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2008 </w:t>
      </w:r>
      <w:r w:rsidR="00B452D9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г.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постановлени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ем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Правительства Р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оссийской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Ф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едерации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от 26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декабря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2018 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г.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№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1680 «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»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, </w:t>
      </w:r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Администрация </w:t>
      </w:r>
      <w:proofErr w:type="spellStart"/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Алтайского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края</w:t>
      </w:r>
    </w:p>
    <w:p w:rsidR="004C221F" w:rsidRPr="00113BAE" w:rsidRDefault="004C221F" w:rsidP="00113BAE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ПОСТАНОВЛЯЕТ:</w:t>
      </w:r>
    </w:p>
    <w:p w:rsidR="00113BAE" w:rsidRPr="00113BAE" w:rsidRDefault="00113BAE" w:rsidP="00113BAE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DB1AFE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1. Утвердить прилагаемую Программу </w:t>
      </w:r>
      <w:r w:rsidR="00C407F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профилактики нарушений обязательных требований законодательства в сфере муниципаль</w:t>
      </w:r>
      <w:r w:rsidR="00320F75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ного земельного контроля на </w:t>
      </w:r>
      <w:r w:rsidR="000C5C5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территории </w:t>
      </w:r>
      <w:proofErr w:type="spellStart"/>
      <w:r w:rsidR="000C5C5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="000C5C5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</w:t>
      </w:r>
      <w:r w:rsidR="00320F75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C94981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5</w:t>
      </w:r>
      <w:r w:rsidR="00C407F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(Приложение).</w:t>
      </w:r>
    </w:p>
    <w:p w:rsidR="004C221F" w:rsidRPr="00113BAE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опубликовать</w:t>
      </w:r>
      <w:r w:rsidR="00A85D03" w:rsidRP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Сборнике МПА </w:t>
      </w:r>
      <w:proofErr w:type="spellStart"/>
      <w:r w:rsidR="00A85D03" w:rsidRP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="00A85D03" w:rsidRP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</w:t>
      </w:r>
      <w:r w:rsidRPr="0011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разместить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на официальном сайте А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дминис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трации </w:t>
      </w:r>
      <w:proofErr w:type="spellStart"/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Алтайского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края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4C221F" w:rsidRPr="00113BAE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3. 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Контроль за </w:t>
      </w:r>
      <w:r w:rsidR="00B452D9"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вы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полнением настоящего постановления возложить на </w:t>
      </w:r>
      <w:r w:rsidR="00DB1AF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заместителя главы А</w:t>
      </w:r>
      <w:r w:rsidR="00A85D03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дминистрации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 района </w:t>
      </w:r>
      <w:r w:rsidR="00DB1AF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председателя комитета </w:t>
      </w:r>
      <w:r w:rsidR="00A85D03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по сельскому хозяйству Администрации района.</w:t>
      </w:r>
    </w:p>
    <w:p w:rsidR="004C221F" w:rsidRPr="00113BAE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4. Настоящее постановление вступает в силу </w:t>
      </w:r>
      <w:r w:rsidR="00C94981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 01 января 2025</w:t>
      </w:r>
      <w:r w:rsidR="00D51B2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4E1924" w:rsidRPr="00113BAE" w:rsidRDefault="004E1924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10383C" w:rsidRPr="004E1924" w:rsidRDefault="00C94981" w:rsidP="00587F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Глава района                                                                                                    С.Е. Полякова</w:t>
      </w:r>
    </w:p>
    <w:p w:rsid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98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</w:t>
      </w:r>
    </w:p>
    <w:p w:rsidR="00C94981" w:rsidRDefault="00C9498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981" w:rsidRDefault="00C9498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6B4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A41DF1" w:rsidRP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A41D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A41DF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</w:p>
    <w:p w:rsidR="00A41DF1" w:rsidRP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_______________2024 № _____</w:t>
      </w:r>
    </w:p>
    <w:p w:rsidR="00A41DF1" w:rsidRPr="004E1924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20BA" w:rsidRPr="00BF20BA" w:rsidRDefault="0010383C" w:rsidP="00BF20BA">
      <w:pPr>
        <w:keepNext/>
        <w:keepLines/>
        <w:spacing w:after="0" w:line="259" w:lineRule="auto"/>
        <w:ind w:right="-1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ПРОГРАММА</w:t>
      </w:r>
    </w:p>
    <w:p w:rsidR="0010383C" w:rsidRPr="00BF20BA" w:rsidRDefault="0010383C" w:rsidP="00BF20BA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профилактики нарушений обязательных требований </w:t>
      </w:r>
    </w:p>
    <w:p w:rsidR="000C5C53" w:rsidRPr="004E1924" w:rsidRDefault="0010383C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законодательства в сфере муниципального земельного контроля </w:t>
      </w:r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территории </w:t>
      </w:r>
      <w:proofErr w:type="spellStart"/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Зариинского</w:t>
      </w:r>
      <w:proofErr w:type="spellEnd"/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Алтайского края </w:t>
      </w: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</w:t>
      </w:r>
      <w:r w:rsidR="00685EA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A85D0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5</w:t>
      </w:r>
      <w:r w:rsidR="00E56839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год </w:t>
      </w:r>
    </w:p>
    <w:p w:rsidR="00DB1AFE" w:rsidRDefault="00DB1AFE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A646B4" w:rsidRPr="00BF20BA" w:rsidRDefault="00A646B4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10383C" w:rsidRPr="00BF20BA" w:rsidRDefault="0010383C" w:rsidP="00BF20BA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ПАСПОРТ</w:t>
      </w:r>
    </w:p>
    <w:p w:rsidR="0010383C" w:rsidRPr="00BF20BA" w:rsidRDefault="0010383C" w:rsidP="0010383C">
      <w:pPr>
        <w:keepNext/>
        <w:keepLines/>
        <w:spacing w:before="120"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программы профилактики нарушений обязательных требований </w:t>
      </w:r>
    </w:p>
    <w:p w:rsidR="0010383C" w:rsidRPr="004E1924" w:rsidRDefault="0010383C" w:rsidP="0010383C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законодательства в сфере муниципального земельного контроля </w:t>
      </w:r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территории </w:t>
      </w:r>
      <w:proofErr w:type="spellStart"/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Зариинского</w:t>
      </w:r>
      <w:proofErr w:type="spellEnd"/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Алтайского края </w:t>
      </w: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A85D0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5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</w:t>
      </w:r>
      <w:r w:rsidR="00DB1AFE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DB1AFE" w:rsidRPr="004E1924" w:rsidRDefault="00DB1AFE" w:rsidP="0010383C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45" w:type="dxa"/>
        <w:tblInd w:w="-216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330"/>
        <w:gridCol w:w="6915"/>
      </w:tblGrid>
      <w:tr w:rsidR="0010383C" w:rsidRPr="004E1924" w:rsidTr="005C2657">
        <w:trPr>
          <w:trHeight w:val="73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685EA0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«Программа профилактики нарушений обязательных требований законодательства в сфере муниципального земельного контроля на 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202</w:t>
            </w:r>
            <w:r w:rsidR="00A85D03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год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» (далее - Программа)</w:t>
            </w:r>
          </w:p>
        </w:tc>
      </w:tr>
      <w:tr w:rsidR="0010383C" w:rsidRPr="004E1924" w:rsidTr="005C2657">
        <w:trPr>
          <w:trHeight w:val="106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C03D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Правовые основания разработки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081832" w:rsidRPr="004E1924" w:rsidRDefault="00081832" w:rsidP="0010383C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Федеральный закон от 31.07.2020 N 248-ФЗ (ред. от 11.06.2021) "О государственном контроле (надзоре) и муниципальном контроле в Российской Федерации"</w:t>
            </w:r>
          </w:p>
          <w:p w:rsidR="0010383C" w:rsidRPr="004E1924" w:rsidRDefault="0010383C" w:rsidP="00081832">
            <w:pPr>
              <w:spacing w:after="0" w:line="240" w:lineRule="auto"/>
              <w:ind w:right="133"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81832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r w:rsidR="00081832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081832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районного Совета народных депутатов Алтайского края № 27 от 27.09.2021 «</w:t>
            </w:r>
            <w:r w:rsidR="00081832" w:rsidRPr="004E192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муниципальном земельном контроле на территории муниципального образования </w:t>
            </w:r>
            <w:proofErr w:type="spellStart"/>
            <w:r w:rsidR="00081832" w:rsidRPr="004E1924"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 w:rsidR="00081832" w:rsidRPr="004E1924"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края»;</w:t>
            </w:r>
          </w:p>
          <w:p w:rsidR="00081832" w:rsidRPr="004E1924" w:rsidRDefault="00081832" w:rsidP="00081832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383C" w:rsidRPr="004E1924" w:rsidTr="005C2657">
        <w:trPr>
          <w:trHeight w:val="5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4E1924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</w:t>
            </w:r>
            <w:r w:rsid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района по управлению имуществом и земельным отношениям </w:t>
            </w:r>
          </w:p>
        </w:tc>
      </w:tr>
      <w:tr w:rsidR="0010383C" w:rsidRPr="004E1924" w:rsidTr="005C2657">
        <w:trPr>
          <w:trHeight w:val="59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</w:t>
            </w:r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тории </w:t>
            </w:r>
            <w:proofErr w:type="spellStart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обеспечение доступности информации об обязательных требованиях</w:t>
            </w:r>
          </w:p>
        </w:tc>
      </w:tr>
      <w:tr w:rsidR="0010383C" w:rsidRPr="004E1924" w:rsidTr="005C2657">
        <w:trPr>
          <w:trHeight w:val="334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Задачи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</w:t>
            </w:r>
            <w:proofErr w:type="spellStart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Алтайского края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прозрачности системы контрольно-надзорной деятельности подконтрольных субъектов;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формирование единого понимания обязательных требований у всех участников надзорной деятельности; </w:t>
            </w:r>
          </w:p>
          <w:p w:rsidR="0010383C" w:rsidRPr="004E1924" w:rsidRDefault="004E1924" w:rsidP="004E1924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10383C" w:rsidRPr="004E1924" w:rsidTr="005C2657">
        <w:trPr>
          <w:trHeight w:val="43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и этапы реализации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320F75" w:rsidP="00A85D03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85D0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</w:t>
            </w:r>
          </w:p>
        </w:tc>
      </w:tr>
      <w:tr w:rsidR="0010383C" w:rsidRPr="004E1924" w:rsidTr="005C2657">
        <w:trPr>
          <w:trHeight w:val="47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4E19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4E1924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минимизирование количества нарушений субъектами профилактики обязательных требований земельного законодательства;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увеличение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доли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законопослушных подконтрольных субъектов;</w:t>
            </w:r>
          </w:p>
          <w:p w:rsidR="0010383C" w:rsidRPr="004E1924" w:rsidRDefault="00BA0538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уменьшение административной </w:t>
            </w:r>
            <w:proofErr w:type="gramStart"/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нагрузки  подконтрольных</w:t>
            </w:r>
            <w:proofErr w:type="gramEnd"/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субъектов;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снижение издержек контрольно-надзорной деятельности</w:t>
            </w:r>
          </w:p>
        </w:tc>
      </w:tr>
      <w:tr w:rsidR="0010383C" w:rsidRPr="004E1924" w:rsidTr="005C2657">
        <w:trPr>
          <w:trHeight w:val="73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содержит следующие разделы: 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1. Общие положения;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2. Аналитическая часть программы;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3. Цели и задачи;</w:t>
            </w:r>
          </w:p>
          <w:p w:rsidR="004E1924" w:rsidRPr="00BA0538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План мероприятий по профилактике нарушений на 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85D0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  <w:r w:rsidR="004E1924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A85D03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Отчетные показатели на 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85D0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</w:t>
            </w:r>
          </w:p>
        </w:tc>
      </w:tr>
    </w:tbl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Общие положения </w:t>
      </w:r>
    </w:p>
    <w:p w:rsidR="0010383C" w:rsidRPr="00502186" w:rsidRDefault="0010383C" w:rsidP="00502186">
      <w:pPr>
        <w:widowControl w:val="0"/>
        <w:suppressAutoHyphens/>
        <w:spacing w:after="0" w:line="240" w:lineRule="auto"/>
        <w:ind w:firstLine="856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</w:t>
      </w:r>
      <w:r w:rsidR="004E1924"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территории </w:t>
      </w:r>
      <w:proofErr w:type="spellStart"/>
      <w:r w:rsidR="004E1924"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="004E1924"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Алтайского края </w:t>
      </w:r>
      <w:r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</w:t>
      </w:r>
      <w:r w:rsidR="00685EA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2024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 </w:t>
      </w:r>
      <w:r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местногосамоуправления в Российской Федерации», статьёй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Аналитическая часть Программы</w:t>
      </w:r>
    </w:p>
    <w:p w:rsidR="0010383C" w:rsidRPr="004E1924" w:rsidRDefault="0010383C" w:rsidP="004E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  <w:r w:rsidR="0046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которых законодательством Российской Федерации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законодательством Алтайского края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админис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тративная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 организации и проведению мероприятий по профилактике нарушений указанных требований.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Субъекты, в отношении которых осуществляется муниципальный земельный контроль: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индивидуальные предприниматели;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юридические лица;</w:t>
      </w:r>
    </w:p>
    <w:p w:rsidR="0010383C" w:rsidRPr="004E1924" w:rsidRDefault="0010383C" w:rsidP="004E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 лица.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Перечень обя</w:t>
      </w:r>
      <w:r w:rsidR="0005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зательных требований,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правовыми актами, оценка которых является предметом муниципального земельного контроля: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своевременно производить платежи за землю;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соблюдать при использовании земельных участков требования градостроительных регламентов, строительных, экологических, санитарно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гигиенических, противопожарных и иных правил, нормативов;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не допускать загрязнение, захламление, деградацию и ухудшение плодородия почв на землях соответствующих категорий.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Админист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рация </w:t>
      </w:r>
      <w:proofErr w:type="spellStart"/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(далее - А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дминистрация) осуществляет муниципальный земельный контроль за соблюдением: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10383C" w:rsidRPr="004E1924" w:rsidRDefault="0010383C" w:rsidP="00A4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г.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A05466" w:rsidRDefault="0010383C" w:rsidP="00A0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10383C" w:rsidRPr="004E1924" w:rsidRDefault="0010383C" w:rsidP="00A05466">
      <w:pPr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10383C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нарушений обязательных требований земельного законод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ательства на официальном сайте А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EA0" w:rsidRPr="0068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https://zarinskij-r22.gosuslugi.ru/ </w:t>
      </w:r>
      <w:r w:rsidR="00685EA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5" w:history="1">
        <w:r w:rsidR="00502186" w:rsidRPr="00046CE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502186" w:rsidRPr="00046CE9">
          <w:rPr>
            <w:rStyle w:val="a6"/>
            <w:rFonts w:ascii="Times New Roman" w:hAnsi="Times New Roman" w:cs="Times New Roman"/>
            <w:sz w:val="26"/>
            <w:szCs w:val="26"/>
          </w:rPr>
          <w:t>://заринский22.рф</w:t>
        </w:r>
      </w:hyperlink>
      <w:r w:rsidR="00502186">
        <w:rPr>
          <w:rFonts w:ascii="Times New Roman" w:hAnsi="Times New Roman" w:cs="Times New Roman"/>
          <w:sz w:val="26"/>
          <w:szCs w:val="26"/>
        </w:rPr>
        <w:t xml:space="preserve">)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лиц, индивидуальных предпринимателей, физических лиц и итоги по ним. </w:t>
      </w:r>
    </w:p>
    <w:p w:rsidR="00400CAE" w:rsidRPr="004E1924" w:rsidRDefault="00400CAE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ind w:firstLine="4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3. Цели и задачи Программы</w:t>
      </w:r>
    </w:p>
    <w:p w:rsidR="00462F55" w:rsidRDefault="0010383C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в целях: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доступности информации об обязательных требованиях, требованиях, установленных федеральным законодательством, законодательством </w:t>
      </w:r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края, муниципальными правовыми актами</w:t>
      </w:r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у подконтрольных субъектов мотивации к добросовестному поведению;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снижения уровня ущерба, причиняемого охраняемым законом ценностям.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целей Программы выполняются следующие задачи: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:rsidR="0010383C" w:rsidRPr="004E1924" w:rsidRDefault="0010383C" w:rsidP="0010383C">
      <w:pPr>
        <w:widowControl w:val="0"/>
        <w:spacing w:after="0" w:line="240" w:lineRule="exact"/>
        <w:ind w:left="7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ED2830">
      <w:pPr>
        <w:widowControl w:val="0"/>
        <w:spacing w:after="0" w:line="240" w:lineRule="auto"/>
        <w:ind w:firstLine="4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План мероприятий по профилактике нарушений на </w:t>
      </w:r>
      <w:r w:rsidR="00320F75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F75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:rsidR="0010383C" w:rsidRPr="004E1924" w:rsidRDefault="0010383C" w:rsidP="0010383C">
      <w:pPr>
        <w:widowControl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"/>
        <w:gridCol w:w="4055"/>
        <w:gridCol w:w="3037"/>
        <w:gridCol w:w="2384"/>
      </w:tblGrid>
      <w:tr w:rsidR="0010383C" w:rsidRPr="004E1924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  <w:r w:rsidR="00ED2830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Наименование </w:t>
            </w:r>
          </w:p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Ответственный исполнитель</w:t>
            </w:r>
          </w:p>
        </w:tc>
      </w:tr>
      <w:tr w:rsidR="0010383C" w:rsidRPr="004E1924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информационной  системе «Единый реестр проверок»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соответствии с Правилами формирования и ведения единого реестра проверок, утвержденными постановлением Правительства Российской Федерации от 28 апреля 2015 г. №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F224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Информирование юридических лиц, индивидуальных предпринимателей, физических лиц  по вопросам соблюдения обязательных требований, требований, установленных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C03DD5" w:rsidP="0010383C">
            <w:pPr>
              <w:widowControl w:val="0"/>
              <w:spacing w:after="105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в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течение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Консультирование юридических лиц, индивидуальных предпринимателей и физических лиц 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462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Поддержание в актуальном состоянии размещенных на официальном сайте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Администрации </w:t>
            </w:r>
            <w:proofErr w:type="spellStart"/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 w:rsidR="00C03DD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 частями 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C03DD5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в течение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(по мере необходимости),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462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земельного контроля и размещение на официальном сайте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Администрации </w:t>
            </w:r>
            <w:proofErr w:type="spellStart"/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района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320F75" w:rsidP="00685EA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ноябрь - декабрь 202</w:t>
            </w:r>
            <w:r w:rsidR="00A85D0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685EA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A85D0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685EA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</w:t>
            </w:r>
            <w:r w:rsidR="00A85D0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</w:tbl>
    <w:p w:rsidR="0010383C" w:rsidRPr="004E1924" w:rsidRDefault="0010383C" w:rsidP="0010383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10383C" w:rsidRPr="00ED2830" w:rsidRDefault="0010383C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нарушений на </w:t>
      </w:r>
      <w:r w:rsidR="004560E0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F224F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F75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F224F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24F" w:rsidRPr="004E1924" w:rsidRDefault="001F224F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ED2830" w:rsidRDefault="0010383C" w:rsidP="00ED2830">
      <w:pPr>
        <w:widowControl w:val="0"/>
        <w:spacing w:after="0" w:line="240" w:lineRule="auto"/>
        <w:ind w:firstLine="4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Отчетные показатели Программы</w:t>
      </w:r>
    </w:p>
    <w:p w:rsidR="00462F55" w:rsidRDefault="0010383C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1F224F" w:rsidRDefault="0010383C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выявленных нарушений;</w:t>
      </w:r>
    </w:p>
    <w:p w:rsidR="00462F55" w:rsidRDefault="00ED2830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юридических лиц, индивидуальных предпринимателей,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физических лиц по вопросам соблюдения обязательных требований;</w:t>
      </w:r>
    </w:p>
    <w:p w:rsidR="00462F55" w:rsidRDefault="00462F55" w:rsidP="00462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462F55" w:rsidRDefault="00462F55" w:rsidP="00462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количество проверок, 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 проведении которых внесены в Федеральную государственную информационную систему «Единый</w:t>
      </w:r>
      <w:r w:rsidR="00DD44E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ёё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реестр проверок»; </w:t>
      </w:r>
    </w:p>
    <w:p w:rsidR="0010383C" w:rsidRPr="004E1924" w:rsidRDefault="00462F55" w:rsidP="00462F5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C03DD5" w:rsidRDefault="00C03DD5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sectPr w:rsidR="0010383C" w:rsidRPr="004E1924" w:rsidSect="00A41DF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1F"/>
    <w:rsid w:val="00001D7E"/>
    <w:rsid w:val="00027F56"/>
    <w:rsid w:val="0003663E"/>
    <w:rsid w:val="00041453"/>
    <w:rsid w:val="0005178E"/>
    <w:rsid w:val="000768C7"/>
    <w:rsid w:val="00081832"/>
    <w:rsid w:val="000C5C53"/>
    <w:rsid w:val="000D174F"/>
    <w:rsid w:val="000E5875"/>
    <w:rsid w:val="0010383C"/>
    <w:rsid w:val="00113BAE"/>
    <w:rsid w:val="0018309C"/>
    <w:rsid w:val="001A026B"/>
    <w:rsid w:val="001E04E8"/>
    <w:rsid w:val="001E1C85"/>
    <w:rsid w:val="001F224F"/>
    <w:rsid w:val="001F4B71"/>
    <w:rsid w:val="00211A3F"/>
    <w:rsid w:val="00237AD5"/>
    <w:rsid w:val="00261923"/>
    <w:rsid w:val="00264CA1"/>
    <w:rsid w:val="0027356D"/>
    <w:rsid w:val="002A4D80"/>
    <w:rsid w:val="002B10CD"/>
    <w:rsid w:val="002C2B32"/>
    <w:rsid w:val="002C53EF"/>
    <w:rsid w:val="00307F85"/>
    <w:rsid w:val="003155A5"/>
    <w:rsid w:val="00320F75"/>
    <w:rsid w:val="003233DF"/>
    <w:rsid w:val="003346A1"/>
    <w:rsid w:val="00346302"/>
    <w:rsid w:val="0039499B"/>
    <w:rsid w:val="003A11EE"/>
    <w:rsid w:val="003B3254"/>
    <w:rsid w:val="003F5E13"/>
    <w:rsid w:val="00400CAE"/>
    <w:rsid w:val="004068AC"/>
    <w:rsid w:val="004560E0"/>
    <w:rsid w:val="00462F55"/>
    <w:rsid w:val="004743CF"/>
    <w:rsid w:val="00492B89"/>
    <w:rsid w:val="004964BC"/>
    <w:rsid w:val="004A06BD"/>
    <w:rsid w:val="004A0B05"/>
    <w:rsid w:val="004C1D2E"/>
    <w:rsid w:val="004C221F"/>
    <w:rsid w:val="004E0045"/>
    <w:rsid w:val="004E1924"/>
    <w:rsid w:val="004F4F53"/>
    <w:rsid w:val="00502186"/>
    <w:rsid w:val="00515862"/>
    <w:rsid w:val="00536CCB"/>
    <w:rsid w:val="005405D1"/>
    <w:rsid w:val="00541DE2"/>
    <w:rsid w:val="0056545C"/>
    <w:rsid w:val="00587F95"/>
    <w:rsid w:val="0059469A"/>
    <w:rsid w:val="005C2657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859F2"/>
    <w:rsid w:val="00685EA0"/>
    <w:rsid w:val="00690456"/>
    <w:rsid w:val="006A2F70"/>
    <w:rsid w:val="006A4179"/>
    <w:rsid w:val="006C38BE"/>
    <w:rsid w:val="006E0FA1"/>
    <w:rsid w:val="007224E5"/>
    <w:rsid w:val="00754E5E"/>
    <w:rsid w:val="0077453E"/>
    <w:rsid w:val="007954F1"/>
    <w:rsid w:val="00795F8E"/>
    <w:rsid w:val="007D0CAD"/>
    <w:rsid w:val="007E3C73"/>
    <w:rsid w:val="008344C1"/>
    <w:rsid w:val="00841D65"/>
    <w:rsid w:val="008B3751"/>
    <w:rsid w:val="008C15F7"/>
    <w:rsid w:val="008C1B41"/>
    <w:rsid w:val="008D4BAA"/>
    <w:rsid w:val="008E0228"/>
    <w:rsid w:val="0092745E"/>
    <w:rsid w:val="00951CBF"/>
    <w:rsid w:val="00985E8C"/>
    <w:rsid w:val="009A383E"/>
    <w:rsid w:val="009A4F1B"/>
    <w:rsid w:val="009B4CBA"/>
    <w:rsid w:val="009C1C76"/>
    <w:rsid w:val="009C51DB"/>
    <w:rsid w:val="00A028AF"/>
    <w:rsid w:val="00A05466"/>
    <w:rsid w:val="00A419E7"/>
    <w:rsid w:val="00A41DF1"/>
    <w:rsid w:val="00A4397E"/>
    <w:rsid w:val="00A646B4"/>
    <w:rsid w:val="00A72DFC"/>
    <w:rsid w:val="00A85D03"/>
    <w:rsid w:val="00AA6981"/>
    <w:rsid w:val="00AC1C1E"/>
    <w:rsid w:val="00AE080E"/>
    <w:rsid w:val="00AF2CA4"/>
    <w:rsid w:val="00B00DA8"/>
    <w:rsid w:val="00B452D9"/>
    <w:rsid w:val="00BA0538"/>
    <w:rsid w:val="00BF20BA"/>
    <w:rsid w:val="00C03DD5"/>
    <w:rsid w:val="00C407F6"/>
    <w:rsid w:val="00C53A84"/>
    <w:rsid w:val="00C7739C"/>
    <w:rsid w:val="00C94981"/>
    <w:rsid w:val="00CE552E"/>
    <w:rsid w:val="00CF352F"/>
    <w:rsid w:val="00D51B26"/>
    <w:rsid w:val="00D76278"/>
    <w:rsid w:val="00D806F9"/>
    <w:rsid w:val="00DA06CA"/>
    <w:rsid w:val="00DB1AFE"/>
    <w:rsid w:val="00DC0E70"/>
    <w:rsid w:val="00DD44EB"/>
    <w:rsid w:val="00DD6D77"/>
    <w:rsid w:val="00DE79F2"/>
    <w:rsid w:val="00E124DB"/>
    <w:rsid w:val="00E56839"/>
    <w:rsid w:val="00E93FF1"/>
    <w:rsid w:val="00EC071F"/>
    <w:rsid w:val="00EC197B"/>
    <w:rsid w:val="00ED2830"/>
    <w:rsid w:val="00EE47DE"/>
    <w:rsid w:val="00EF71A4"/>
    <w:rsid w:val="00F03391"/>
    <w:rsid w:val="00F131E3"/>
    <w:rsid w:val="00F13E19"/>
    <w:rsid w:val="00F61837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568E"/>
  <w15:docId w15:val="{A479B01E-5C45-4B58-91BA-8F8B950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1F"/>
  </w:style>
  <w:style w:type="paragraph" w:styleId="1">
    <w:name w:val="heading 1"/>
    <w:basedOn w:val="a"/>
    <w:next w:val="a"/>
    <w:link w:val="10"/>
    <w:qFormat/>
    <w:rsid w:val="00113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B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B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BAE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113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13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1AFE"/>
    <w:pPr>
      <w:ind w:left="720"/>
      <w:contextualSpacing/>
    </w:pPr>
  </w:style>
  <w:style w:type="character" w:styleId="a6">
    <w:name w:val="Hyperlink"/>
    <w:uiPriority w:val="99"/>
    <w:rsid w:val="001F22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8;&#1080;&#1085;&#1089;&#1082;&#1080;&#1081;22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Санкина Людмила Викторовна</dc:creator>
  <cp:lastModifiedBy>WS-ZemKom</cp:lastModifiedBy>
  <cp:revision>11</cp:revision>
  <cp:lastPrinted>2023-11-29T08:13:00Z</cp:lastPrinted>
  <dcterms:created xsi:type="dcterms:W3CDTF">2023-11-28T05:57:00Z</dcterms:created>
  <dcterms:modified xsi:type="dcterms:W3CDTF">2024-09-27T08:24:00Z</dcterms:modified>
</cp:coreProperties>
</file>