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ПУБЛИЧНЫХ СЛУШАНИЙ </w:t>
        <w:br/>
        <w:t xml:space="preserve">ИЗМЕНЕНИЯ </w:t>
      </w:r>
      <w:r>
        <w:rPr>
          <w:rFonts w:ascii="Times New Roman" w:hAnsi="Times New Roman"/>
          <w:b/>
          <w:sz w:val="26"/>
          <w:szCs w:val="26"/>
        </w:rPr>
        <w:t>И ДОПОЛНЕНИЯ</w:t>
      </w:r>
      <w:r>
        <w:rPr>
          <w:rFonts w:ascii="Times New Roman" w:hAnsi="Times New Roman"/>
          <w:b/>
          <w:sz w:val="26"/>
          <w:szCs w:val="26"/>
        </w:rPr>
        <w:t xml:space="preserve"> В «ПРАВИЛА ЗЕМЛЕПОЛЬЗОВАНИЯ И ЗАСТРОЙКИ ЧАСТИ ТЕРРИТОРИИ МУНИЦИПАЛЬНОГО ОБРАЗОВАНИЯ СЕЛЬСКОГО ПОСЕЛЕНИЯ </w:t>
      </w:r>
      <w:r>
        <w:rPr>
          <w:rFonts w:ascii="Times New Roman" w:hAnsi="Times New Roman"/>
          <w:b/>
          <w:sz w:val="26"/>
          <w:szCs w:val="26"/>
        </w:rPr>
        <w:t>КОМАРСКИЙ</w:t>
      </w:r>
      <w:r>
        <w:rPr>
          <w:rFonts w:ascii="Times New Roman" w:hAnsi="Times New Roman"/>
          <w:b/>
          <w:sz w:val="26"/>
          <w:szCs w:val="26"/>
        </w:rPr>
        <w:t xml:space="preserve"> СЕЛЬСОВЕТ </w:t>
      </w:r>
    </w:p>
    <w:p>
      <w:pPr>
        <w:pStyle w:val="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ЗАРИНСКОГО РАЙОНА АЛТАЙСКОГО КРАЯ»</w:t>
      </w:r>
    </w:p>
    <w:p>
      <w:pPr>
        <w:pStyle w:val="Normal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85"/>
        <w:gridCol w:w="4784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г. Заринск</w:t>
            </w:r>
          </w:p>
        </w:tc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26 июня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2025 г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в 12 часов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ind w:hanging="360"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проведения</w:t>
      </w:r>
    </w:p>
    <w:p>
      <w:pPr>
        <w:pStyle w:val="Normal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659100 Алтайский край, г. Заринск, ул. Ленина, 26.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Участники публичных слушаний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Вахонина Н.В. начальник отдела архитектуры и градостроительства Администрации Заринского района Алтайского края;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Бесперстова М.В</w:t>
      </w:r>
      <w:r>
        <w:rPr>
          <w:rFonts w:ascii="Times New Roman" w:hAnsi="Times New Roman"/>
          <w:sz w:val="26"/>
          <w:szCs w:val="26"/>
        </w:rPr>
        <w:t xml:space="preserve">. глава </w:t>
      </w:r>
      <w:r>
        <w:rPr>
          <w:rFonts w:ascii="Times New Roman" w:hAnsi="Times New Roman"/>
          <w:sz w:val="26"/>
          <w:szCs w:val="26"/>
        </w:rPr>
        <w:t>Комарского</w:t>
      </w:r>
      <w:r>
        <w:rPr>
          <w:rFonts w:ascii="Times New Roman" w:hAnsi="Times New Roman"/>
          <w:sz w:val="26"/>
          <w:szCs w:val="26"/>
        </w:rPr>
        <w:t xml:space="preserve"> сельсовета;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Заринского района, приложение обнародованию не подлежит.</w:t>
      </w:r>
    </w:p>
    <w:p>
      <w:pPr>
        <w:pStyle w:val="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 публичных слушаний</w:t>
      </w:r>
    </w:p>
    <w:p>
      <w:pPr>
        <w:pStyle w:val="Normal"/>
        <w:ind w:firstLine="720"/>
        <w:jc w:val="both"/>
        <w:rPr>
          <w:rFonts w:ascii="Times New Roman" w:hAnsi="Times New Roman" w:eastAsia="Lucida Sans Unicode" w:cs="Times New Roman"/>
          <w:color w:val="auto"/>
          <w:kern w:val="2"/>
          <w:sz w:val="26"/>
          <w:szCs w:val="26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Внесение изменений и дополнений в «Правила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края».</w:t>
      </w:r>
    </w:p>
    <w:p>
      <w:pPr>
        <w:pStyle w:val="Normal"/>
        <w:ind w:firstLine="720"/>
        <w:jc w:val="both"/>
        <w:rPr>
          <w:rFonts w:ascii="Times New Roman" w:hAnsi="Times New Roman" w:eastAsia="Lucida Sans Unicode" w:cs="Times New Roman"/>
          <w:color w:val="auto"/>
          <w:kern w:val="2"/>
          <w:sz w:val="26"/>
          <w:szCs w:val="26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Основание для проведения публичных слушаний</w:t>
      </w:r>
    </w:p>
    <w:p>
      <w:pPr>
        <w:pStyle w:val="Normal"/>
        <w:widowControl/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eastAsia="Lucida Sans Unicode" w:cs="Times New Roman"/>
          <w:color w:val="auto"/>
          <w:kern w:val="2"/>
          <w:sz w:val="26"/>
          <w:szCs w:val="26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Постановление Администрации Заринского района Алтайского края № 438 от 23.05.2025 г. «О назначении публичных слушаний по внесению изменений и дополнений в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края», на сайте Администрации Заринского района Алтайского края. Проект Правил размещен на сайте Администрации </w:t>
      </w: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Комарского </w:t>
      </w: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сельсовета Алтайского края и на информационном стенде Администрации </w:t>
      </w: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>Комарского</w:t>
      </w: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 сельсовета.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проведения публичных слушаний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Подготовки предложений и рекомендаций по обсуждаемой теме.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Слушания носят рекомендательный характер.</w:t>
      </w:r>
    </w:p>
    <w:p>
      <w:pPr>
        <w:pStyle w:val="Normal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b/>
          <w:i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публичных слушаний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Выступление Н.В. Вахониной, заместителя председателя комиссии по разработке проекта Правил,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докладом по внесению изменений в «Правила землепользования и застройки части территории муниципального образования</w:t>
      </w:r>
      <w:r>
        <w:rPr/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/>
        <w:t xml:space="preserve"> </w:t>
      </w:r>
      <w:r>
        <w:rPr>
          <w:rFonts w:eastAsia="Lucida Sans Unicode" w:cs="Times New Roman" w:ascii="Times New Roman" w:hAnsi="Times New Roman"/>
          <w:color w:val="auto"/>
          <w:kern w:val="2"/>
          <w:sz w:val="26"/>
          <w:szCs w:val="26"/>
          <w:lang w:val="ru-RU" w:eastAsia="ru-RU" w:bidi="ar-SA"/>
        </w:rPr>
        <w:t xml:space="preserve">Комарский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края».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Рассмотрение вопросов и предложений участников публичных слушаний.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Принятие решения по проведению публичных слушаний.</w:t>
      </w:r>
    </w:p>
    <w:p>
      <w:pPr>
        <w:pStyle w:val="Normal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работы предлагается установить следующий регламент: время выступления – 15 минут, прения – не более 10 минут. По предложенному порядку проведения публичных слушаний – замечаний и предложений от участников слушаний не поступило.</w:t>
      </w:r>
    </w:p>
    <w:p>
      <w:pPr>
        <w:pStyle w:val="Normal"/>
        <w:jc w:val="center"/>
        <w:rPr>
          <w:rFonts w:ascii="Times New Roman" w:hAnsi="Times New Roman"/>
          <w:b/>
          <w:i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</w:r>
    </w:p>
    <w:p>
      <w:pPr>
        <w:pStyle w:val="Normal"/>
        <w:widowControl/>
        <w:numPr>
          <w:ilvl w:val="0"/>
          <w:numId w:val="3"/>
        </w:numPr>
        <w:suppressAutoHyphens w:val="false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Доклад по внесению изменений </w:t>
      </w:r>
      <w:r>
        <w:rPr>
          <w:rFonts w:ascii="Times New Roman" w:hAnsi="Times New Roman"/>
          <w:b/>
          <w:sz w:val="26"/>
          <w:szCs w:val="26"/>
        </w:rPr>
        <w:t xml:space="preserve">и дополнений </w:t>
      </w:r>
      <w:r>
        <w:rPr>
          <w:rFonts w:ascii="Times New Roman" w:hAnsi="Times New Roman"/>
          <w:b/>
          <w:sz w:val="26"/>
          <w:szCs w:val="26"/>
        </w:rPr>
        <w:t>в «Правила землепользования и застройки части территории муниципального образования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>Комарский</w:t>
      </w:r>
      <w:r>
        <w:rPr>
          <w:rFonts w:ascii="Times New Roman" w:hAnsi="Times New Roman"/>
          <w:b/>
          <w:sz w:val="26"/>
          <w:szCs w:val="26"/>
        </w:rPr>
        <w:t xml:space="preserve"> сельсовет Заринского района Алтайского края».</w:t>
      </w:r>
    </w:p>
    <w:p>
      <w:pPr>
        <w:pStyle w:val="Normal"/>
        <w:widowControl/>
        <w:suppressAutoHyphens w:val="false"/>
        <w:ind w:left="106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1. Внести в решение Заринского районного совета народных депутатов Алтайского края от </w:t>
      </w:r>
      <w:r>
        <w:rPr>
          <w:rFonts w:eastAsia="Lucida Sans Unicode" w:ascii="Times New Roman" w:hAnsi="Times New Roman"/>
          <w:kern w:val="2"/>
          <w:sz w:val="26"/>
          <w:szCs w:val="26"/>
        </w:rPr>
        <w:t>27.08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.2024 года № </w:t>
      </w:r>
      <w:r>
        <w:rPr>
          <w:rFonts w:eastAsia="Lucida Sans Unicode" w:ascii="Times New Roman" w:hAnsi="Times New Roman"/>
          <w:kern w:val="2"/>
          <w:sz w:val="26"/>
          <w:szCs w:val="26"/>
        </w:rPr>
        <w:t>46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 Об утверждении «Правила землепользования и застройки части территории муниципального образования сельского поселения 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Комарский </w:t>
      </w:r>
      <w:r>
        <w:rPr>
          <w:rFonts w:eastAsia="Lucida Sans Unicode" w:ascii="Times New Roman" w:hAnsi="Times New Roman"/>
          <w:kern w:val="2"/>
          <w:sz w:val="26"/>
          <w:szCs w:val="26"/>
        </w:rPr>
        <w:t>сельсовет Заринского района Алтайского края» следующие изменения: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Правила землепользования и застройки являются нормативно-правовым актом МО СП </w:t>
      </w:r>
      <w:r>
        <w:rPr>
          <w:rFonts w:eastAsia="Lucida Sans Unicode" w:ascii="Times New Roman" w:hAnsi="Times New Roman"/>
          <w:kern w:val="2"/>
          <w:sz w:val="26"/>
          <w:szCs w:val="26"/>
        </w:rPr>
        <w:t>Комарский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 сельсовет, регламентирующим деятельность органов и должностных лиц местного самоуправления, а также физических и юридических лиц в области землепользования и застройки. 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Внесение изменений в Правила разработаны в соответствии с изменениями, внесенными в генеральный план МО, а также требованиями Градостроительного кодекса и других нормативных документов.</w:t>
      </w:r>
    </w:p>
    <w:p>
      <w:pPr>
        <w:pStyle w:val="BodyTextIndent"/>
        <w:spacing w:before="0" w:after="0"/>
        <w:ind w:firstLine="709" w:left="0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Правила содержат:</w:t>
      </w:r>
    </w:p>
    <w:p>
      <w:pPr>
        <w:pStyle w:val="BodyTextIndent"/>
        <w:numPr>
          <w:ilvl w:val="0"/>
          <w:numId w:val="4"/>
        </w:numPr>
        <w:tabs>
          <w:tab w:val="clear" w:pos="708"/>
          <w:tab w:val="left" w:pos="720" w:leader="none"/>
          <w:tab w:val="left" w:pos="1080" w:leader="none"/>
        </w:tabs>
        <w:spacing w:before="0" w:after="0"/>
        <w:ind w:firstLine="709" w:left="0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общую часть (порядок применения настоящих Правил и внесения в них изменений);</w:t>
      </w:r>
    </w:p>
    <w:p>
      <w:pPr>
        <w:pStyle w:val="BodyTextIndent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firstLine="709" w:left="0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карту градостроительного зонирования;</w:t>
      </w:r>
    </w:p>
    <w:p>
      <w:pPr>
        <w:pStyle w:val="BodyTextIndent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firstLine="709" w:left="0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градостроительные регламенты.</w:t>
      </w:r>
    </w:p>
    <w:p>
      <w:pPr>
        <w:pStyle w:val="Normal"/>
        <w:tabs>
          <w:tab w:val="clear" w:pos="708"/>
          <w:tab w:val="left" w:pos="0" w:leader="none"/>
        </w:tabs>
        <w:ind w:firstLine="709" w:left="142" w:right="102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Настоящие Правила действуют на всей территории МО СП </w:t>
      </w:r>
      <w:r>
        <w:rPr>
          <w:rFonts w:eastAsia="Lucida Sans Unicode" w:ascii="Times New Roman" w:hAnsi="Times New Roman"/>
          <w:kern w:val="2"/>
          <w:sz w:val="26"/>
          <w:szCs w:val="26"/>
        </w:rPr>
        <w:t>Комарский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 сельсовет.</w:t>
      </w:r>
    </w:p>
    <w:p>
      <w:pPr>
        <w:pStyle w:val="Normal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Первая часть - Порядок применения и внесения изменений в ПЗЗ – это теоретическая, базовая часть данного документа, в которой отображаются положения: 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 регулировании землепользования и застройки органами местного самоуправления;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об изменении видов разрешенного использования ЗУ и ОКС физическими и юридическими лицами и об отклонение от предельных параметров разрешенного строительства, реконструкции ОКС физическими и юридическими лицами;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 подготовке документации по планировке территории органами местного самоуправления;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 проведении общественных обсуждений или публичных слушаний по вопросам землепользования и застройки;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 внесении изменений в правила землепользования и застройки;</w:t>
      </w:r>
    </w:p>
    <w:p>
      <w:pPr>
        <w:pStyle w:val="Normal"/>
        <w:ind w:firstLine="106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 регулировании иных вопросов землепользования и застройки.</w:t>
      </w:r>
    </w:p>
    <w:p>
      <w:pPr>
        <w:pStyle w:val="Normal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Вторая часть – Карта градостроительного зонирования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Карта градостроительного зонирования - это своеобразная иллюстрация документа ПЗЗ. 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На карте устанавливаются границы территориальных зон, а также в обязательном порядке отображаются: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границы населенных пунктов, входящих в состав поселения;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границы территорий объектов культурного наследия;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границы зон с особыми условиями использования территории;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границы территорий исторических поселений федерального и регионального значений.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При этом все перечисленные границы могут отображаться либо на отдельных картах, либо на одной.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Зоны с особыми условиями использования территории отображаются в основном только те, сведения о которых внесены в ЕГРН. Данные зоны накладывают дополнительные ограничения на использование земельных участков. В МО </w:t>
      </w:r>
      <w:r>
        <w:rPr>
          <w:rFonts w:eastAsia="Lucida Sans Unicode" w:ascii="Times New Roman" w:hAnsi="Times New Roman"/>
          <w:kern w:val="2"/>
          <w:sz w:val="26"/>
          <w:szCs w:val="26"/>
        </w:rPr>
        <w:t>Комарский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 сельсовет это: 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охранные зоны инженерных коммуникаций;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придорожная полоса;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водоохранные зоны и прибрежные защитные полосы;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зона охранны объектов культурного наследия;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санитарно-защитная зона предприятий, сооружений и иных объектов,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зоны санитарной охраны источников питьевого и хозяйственно-бытового водоснабжения,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сети.</w:t>
      </w:r>
    </w:p>
    <w:p>
      <w:pPr>
        <w:pStyle w:val="ConsPlusNormal"/>
        <w:ind w:firstLine="709" w:left="0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Для каждого типа территориальной зоны разработаны градостроительные регламенты, где указаны:</w:t>
      </w:r>
    </w:p>
    <w:p>
      <w:pPr>
        <w:pStyle w:val="ConsPlusNormal"/>
        <w:ind w:firstLine="709" w:left="0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виды разрешенного использования земельных участков и объектов капитального строительства;</w:t>
      </w:r>
    </w:p>
    <w:p>
      <w:pPr>
        <w:pStyle w:val="ConsPlusNormal"/>
        <w:ind w:firstLine="709" w:left="0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>
      <w:pPr>
        <w:pStyle w:val="ConsPlusNormal"/>
        <w:ind w:firstLine="709" w:left="0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ограничения использования земельных участков и объектов капитального строительства.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Действие градостроительного регламента не распространяется на земельные участки: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в границах территорий общего пользования;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предназначенные для размещения линейных объектов и (или) занятые линейными объектами;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– </w:t>
      </w:r>
      <w:r>
        <w:rPr>
          <w:rFonts w:eastAsia="Lucida Sans Unicode" w:ascii="Times New Roman" w:hAnsi="Times New Roman"/>
          <w:kern w:val="2"/>
          <w:sz w:val="26"/>
          <w:szCs w:val="26"/>
        </w:rPr>
        <w:t>предоставленные для добычи полезных ископаемых.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 - 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>
      <w:pPr>
        <w:pStyle w:val="Style18"/>
        <w:spacing w:before="0" w:after="0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Наименования видов разрешенного использования определены по Классификатору, утвержденному Приказом Росреестра от 10.11.2020 № П/0412 «Об утверждении классификатора видов разрешенного использования земельных участков» (Зарегистрировано в Минюсте России 15.12.2020 № 61482).</w:t>
      </w:r>
    </w:p>
    <w:p>
      <w:pPr>
        <w:pStyle w:val="Style19"/>
        <w:widowControl w:val="false"/>
        <w:shd w:val="clear" w:fill="FFFFFF"/>
        <w:tabs>
          <w:tab w:val="clear" w:pos="708"/>
          <w:tab w:val="left" w:pos="993" w:leader="none"/>
          <w:tab w:val="left" w:pos="1418" w:leader="none"/>
        </w:tabs>
        <w:spacing w:lineRule="auto" w:line="240" w:before="0" w:after="0"/>
        <w:ind w:hanging="0" w:left="709" w:right="0"/>
        <w:textAlignment w:val="baseline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</w:r>
    </w:p>
    <w:p>
      <w:pPr>
        <w:pStyle w:val="Style19"/>
        <w:widowControl w:val="false"/>
        <w:shd w:val="clear" w:fill="FFFFFF"/>
        <w:tabs>
          <w:tab w:val="clear" w:pos="708"/>
          <w:tab w:val="left" w:pos="993" w:leader="none"/>
          <w:tab w:val="left" w:pos="1418" w:leader="none"/>
        </w:tabs>
        <w:spacing w:lineRule="auto" w:line="240" w:before="0" w:after="0"/>
        <w:ind w:hanging="0" w:left="709" w:right="0"/>
        <w:textAlignment w:val="baseline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Разрешенное использование земельных участков и объектов капитального строительства может быть следующих видов:  </w:t>
      </w:r>
    </w:p>
    <w:p>
      <w:pPr>
        <w:pStyle w:val="Style19"/>
        <w:widowControl w:val="false"/>
        <w:numPr>
          <w:ilvl w:val="0"/>
          <w:numId w:val="5"/>
        </w:numPr>
        <w:shd w:val="clear" w:fill="FFFFFF"/>
        <w:tabs>
          <w:tab w:val="clear" w:pos="708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contextualSpacing/>
        <w:jc w:val="both"/>
        <w:textAlignment w:val="baseline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основные виды разрешенного использования;</w:t>
      </w:r>
    </w:p>
    <w:p>
      <w:pPr>
        <w:pStyle w:val="Style19"/>
        <w:widowControl w:val="false"/>
        <w:numPr>
          <w:ilvl w:val="0"/>
          <w:numId w:val="5"/>
        </w:numPr>
        <w:shd w:val="clear" w:fill="FFFFFF"/>
        <w:tabs>
          <w:tab w:val="clear" w:pos="708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contextualSpacing/>
        <w:jc w:val="both"/>
        <w:textAlignment w:val="baseline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условно разрешенные виды использования;     </w:t>
      </w:r>
    </w:p>
    <w:p>
      <w:pPr>
        <w:pStyle w:val="Style19"/>
        <w:numPr>
          <w:ilvl w:val="0"/>
          <w:numId w:val="5"/>
        </w:numPr>
        <w:tabs>
          <w:tab w:val="clear" w:pos="708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pStyle w:val="Normal"/>
        <w:widowControl w:val="false"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Порядок изменения одного вида на другой вид разрешенного использования земельных участков и объектов капитального строительства, определяется градостроительным законодательством, настоящими Правилами, иными муниципальными нормативными правовыми актами.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>
      <w:pPr>
        <w:pStyle w:val="Normal"/>
        <w:widowControl w:val="false"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Normal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Рассмотрим подробно установленные регламенты на примере одной зоны.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highlight w:val="none"/>
          <w:shd w:fill="auto" w:val="clear"/>
        </w:rPr>
      </w:pPr>
      <w:r>
        <w:rPr>
          <w:rFonts w:eastAsia="Lucida Sans Unicode" w:ascii="Times New Roman" w:hAnsi="Times New Roman"/>
          <w:kern w:val="2"/>
          <w:sz w:val="26"/>
          <w:szCs w:val="26"/>
          <w:shd w:fill="auto" w:val="clear"/>
        </w:rPr>
        <w:t>Общественно - деловые зоны (код зоны – ОД) предназначена для размещения объектов общественно - делового, торгового, учебно - образовательного, спортивного назначения, объектов здравоохранения и соцобеспечения, связанных с обеспечением жизнедеятельности граждан.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  <w:shd w:fill="auto" w:val="clear"/>
        </w:rPr>
        <w:t>Основные виды использования зем</w:t>
      </w:r>
      <w:r>
        <w:rPr>
          <w:rFonts w:eastAsia="Lucida Sans Unicode" w:ascii="Times New Roman" w:hAnsi="Times New Roman"/>
          <w:kern w:val="2"/>
          <w:sz w:val="26"/>
          <w:szCs w:val="26"/>
        </w:rPr>
        <w:t>ельных участков и объектов капитального строительства данной зоны: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Магазины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Рынки 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Здравоохранение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Культурное развитие</w:t>
      </w:r>
    </w:p>
    <w:p>
      <w:pPr>
        <w:pStyle w:val="Normal"/>
        <w:widowControl w:val="false"/>
        <w:shd w:val="clear" w:fill="FFFFFF"/>
        <w:snapToGrid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Бытовое обслуживание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Социальное обслуживание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Общественное управление 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Деловое управление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Банковская и страховая деятельность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Гостиничное обслуживание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Общественное питание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Образование и просвещение 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Развлекательные мероприятия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Спорт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Религиозное использование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Амбулаторное ветеринарное обслуживание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Земельные участки (территории) общего пользования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Условно разрешенные виды использования: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Хранение автотранспорта 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Размещение гаражей для собственных нужд 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Служебные гаражи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/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 </w:t>
      </w:r>
      <w:r>
        <w:rPr>
          <w:rStyle w:val="5"/>
          <w:rFonts w:eastAsia="Lucida Sans Unicode" w:ascii="Times New Roman" w:hAnsi="Times New Roman"/>
          <w:kern w:val="2"/>
          <w:sz w:val="26"/>
          <w:szCs w:val="26"/>
        </w:rPr>
        <w:t>Коммунальное обслуживание</w:t>
      </w:r>
    </w:p>
    <w:p>
      <w:pPr>
        <w:pStyle w:val="Normal"/>
        <w:widowControl w:val="false"/>
        <w:suppressLineNumbers/>
        <w:tabs>
          <w:tab w:val="clear" w:pos="708"/>
          <w:tab w:val="right" w:pos="9360" w:leader="dot"/>
        </w:tabs>
        <w:ind w:firstLine="709" w:right="0"/>
        <w:jc w:val="both"/>
        <w:rPr/>
      </w:pPr>
      <w:r>
        <w:rPr>
          <w:rFonts w:eastAsia="Lucida Sans Unicode" w:ascii="Times New Roman" w:hAnsi="Times New Roman"/>
          <w:kern w:val="2"/>
          <w:sz w:val="26"/>
          <w:szCs w:val="26"/>
        </w:rPr>
        <w:t>- Объекты торговли (торговые центры, торгово - развлекательные центры (комплексы)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/>
      </w:pPr>
      <w:r>
        <w:rPr>
          <w:rStyle w:val="5"/>
          <w:rFonts w:eastAsia="Lucida Sans Unicode" w:ascii="Times New Roman" w:hAnsi="Times New Roman"/>
          <w:kern w:val="2"/>
          <w:sz w:val="26"/>
          <w:szCs w:val="26"/>
        </w:rPr>
        <w:t xml:space="preserve">- </w:t>
      </w:r>
      <w:r>
        <w:rPr>
          <w:rFonts w:eastAsia="Lucida Sans Unicode" w:ascii="Times New Roman" w:hAnsi="Times New Roman"/>
          <w:kern w:val="2"/>
          <w:sz w:val="26"/>
          <w:szCs w:val="26"/>
        </w:rPr>
        <w:t>Малоэтажная многоквартирная жилая застройка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- Для индивидуального жилищного строительства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/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- </w:t>
      </w:r>
      <w:r>
        <w:rPr>
          <w:rStyle w:val="11"/>
          <w:rFonts w:eastAsia="Lucida Sans Unicode" w:ascii="Times New Roman" w:hAnsi="Times New Roman"/>
          <w:kern w:val="2"/>
          <w:sz w:val="26"/>
          <w:szCs w:val="26"/>
        </w:rPr>
        <w:t>Блокированная жилая застройка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/>
      </w:pPr>
      <w:r>
        <w:rPr>
          <w:rFonts w:eastAsia="Lucida Sans Unicode" w:ascii="Times New Roman" w:hAnsi="Times New Roman"/>
          <w:kern w:val="2"/>
          <w:sz w:val="26"/>
          <w:szCs w:val="26"/>
        </w:rPr>
        <w:t>Вспомогательные виды разрешенного использования:</w:t>
      </w:r>
    </w:p>
    <w:p>
      <w:pPr>
        <w:pStyle w:val="Normal"/>
        <w:keepNext w:val="true"/>
        <w:keepLines/>
        <w:shd w:val="clear" w:fill="FFFFFF"/>
        <w:ind w:firstLine="709" w:right="0"/>
        <w:jc w:val="both"/>
        <w:rPr/>
      </w:pPr>
      <w:r>
        <w:rPr>
          <w:rStyle w:val="5"/>
          <w:rFonts w:eastAsia="Lucida Sans Unicode" w:ascii="Times New Roman" w:hAnsi="Times New Roman"/>
          <w:kern w:val="2"/>
          <w:sz w:val="26"/>
          <w:szCs w:val="26"/>
        </w:rPr>
        <w:t xml:space="preserve">- </w:t>
      </w: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Предоставление коммунальных услуг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Lucida Sans Unicode" w:ascii="Times New Roman" w:hAnsi="Times New Roman"/>
          <w:kern w:val="2"/>
          <w:sz w:val="26"/>
          <w:szCs w:val="26"/>
        </w:rPr>
        <w:t>Параметры разрешенного использования земельных участков и объектов капитального строительства общественно - деловой зоны:</w:t>
      </w:r>
    </w:p>
    <w:p>
      <w:pPr>
        <w:pStyle w:val="4"/>
        <w:shd w:val="clear" w:fill="auto"/>
        <w:spacing w:lineRule="auto" w:line="240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Образование и просвещение </w:t>
      </w:r>
    </w:p>
    <w:p>
      <w:pPr>
        <w:pStyle w:val="4"/>
        <w:shd w:val="clear" w:fill="auto"/>
        <w:spacing w:lineRule="auto" w:line="240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Минимальный размер земельного участка – 0,1 га.</w:t>
      </w:r>
    </w:p>
    <w:p>
      <w:pPr>
        <w:pStyle w:val="4"/>
        <w:shd w:val="clear" w:fill="auto"/>
        <w:spacing w:lineRule="auto" w:line="240"/>
        <w:ind w:firstLine="709" w:right="0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Максимальная площадь земельного участка - 1 га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Этажность – до 3 этажей. 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Максимальный процент застройки – 30%.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Минимальный отступ от границ земельного участка – 10 м.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Минимальный процент озеленения - 30%.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Минимальный отступ от красной линии 10 м.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Магазины </w:t>
      </w:r>
    </w:p>
    <w:p>
      <w:pPr>
        <w:pStyle w:val="Default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Минимальные размеры земельного участка - 0,04 га.</w:t>
      </w:r>
    </w:p>
    <w:p>
      <w:pPr>
        <w:pStyle w:val="Default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Максимальная площадь земельного участка – 0,5 га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 xml:space="preserve">Минимальный отступ от границы земельного участка -3 м. 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Предельное количество этажей - 3.</w:t>
      </w:r>
    </w:p>
    <w:p>
      <w:pPr>
        <w:pStyle w:val="Normal"/>
        <w:widowControl w:val="false"/>
        <w:ind w:firstLine="709" w:right="0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>Максимальный процент застройки - 50 %.</w:t>
      </w:r>
    </w:p>
    <w:p>
      <w:pPr>
        <w:pStyle w:val="Normal"/>
        <w:widowControl w:val="false"/>
        <w:jc w:val="center"/>
        <w:rPr>
          <w:rFonts w:ascii="Times New Roman" w:hAnsi="Times New Roman" w:eastAsia="Lucida Sans Unicode"/>
          <w:b/>
          <w:bCs/>
          <w:kern w:val="2"/>
          <w:sz w:val="26"/>
          <w:szCs w:val="26"/>
        </w:rPr>
      </w:pPr>
      <w:r>
        <w:rPr>
          <w:rFonts w:eastAsia="Lucida Sans Unicode" w:ascii="Times New Roman" w:hAnsi="Times New Roman"/>
          <w:b/>
          <w:bCs/>
          <w:kern w:val="2"/>
          <w:sz w:val="26"/>
          <w:szCs w:val="26"/>
        </w:rPr>
        <w:t>Заключение</w:t>
      </w:r>
    </w:p>
    <w:p>
      <w:pPr>
        <w:pStyle w:val="Normal"/>
        <w:widowControl w:val="false"/>
        <w:jc w:val="both"/>
        <w:rPr>
          <w:rFonts w:ascii="Times New Roman" w:hAnsi="Times New Roman" w:eastAsia="Lucida Sans Unicode"/>
          <w:kern w:val="2"/>
          <w:sz w:val="26"/>
          <w:szCs w:val="26"/>
        </w:rPr>
      </w:pPr>
      <w:r>
        <w:rPr>
          <w:rFonts w:eastAsia="Lucida Sans Unicode" w:ascii="Times New Roman" w:hAnsi="Times New Roman"/>
          <w:kern w:val="2"/>
          <w:sz w:val="26"/>
          <w:szCs w:val="26"/>
        </w:rPr>
        <w:tab/>
        <w:t>Таким образом, правила землепользования и застройки – документ, устанавливающий общий порядок осуществления градостроительной деятельности на территории муниципального образования в соответствии с действующим законодательством.</w:t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Рассмотрение вопросов и предложений участников публичных слушаний.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публичных слушаний предложений и замечаний, касающихся проекта Правил, для включения их в протокол публичных слушаний не выразили.</w:t>
      </w:r>
    </w:p>
    <w:p>
      <w:pPr>
        <w:pStyle w:val="Normal"/>
        <w:widowControl/>
        <w:numPr>
          <w:ilvl w:val="0"/>
          <w:numId w:val="3"/>
        </w:numPr>
        <w:suppressAutoHyphens w:val="false"/>
        <w:ind w:hanging="360"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Принятие решения по проведению публичных слушаний.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публичных слушаний главе района было рекомендовано принять решение о согласии с внесением изменений </w:t>
      </w:r>
      <w:r>
        <w:rPr>
          <w:rFonts w:ascii="Times New Roman" w:hAnsi="Times New Roman"/>
          <w:sz w:val="26"/>
          <w:szCs w:val="26"/>
        </w:rPr>
        <w:t xml:space="preserve">и дополнений </w:t>
      </w:r>
      <w:r>
        <w:rPr>
          <w:rFonts w:ascii="Times New Roman" w:hAnsi="Times New Roman"/>
          <w:sz w:val="26"/>
          <w:szCs w:val="26"/>
        </w:rPr>
        <w:t>в «Правила землепользования и застройки части территории муниципального образования</w:t>
      </w:r>
      <w:r>
        <w:rPr/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сельское поселение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Комарский</w:t>
      </w:r>
      <w:r>
        <w:rPr>
          <w:rFonts w:ascii="Times New Roman" w:hAnsi="Times New Roman"/>
          <w:sz w:val="26"/>
          <w:szCs w:val="26"/>
        </w:rPr>
        <w:t xml:space="preserve"> сельсовет Заринского района Алтайского края» и направлении его в Заринский районный Совет народных депутатов Алтайского края для утверждения.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Настоящий протокол (за исключением приложения) подлежит обнародованию и размещению на официальном сайте Администрации Заринского района.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53"/>
        <w:gridCol w:w="2945"/>
        <w:gridCol w:w="2182"/>
      </w:tblGrid>
      <w:tr>
        <w:trPr/>
        <w:tc>
          <w:tcPr>
            <w:tcW w:w="515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 по разработке проекта Правил</w:t>
            </w:r>
          </w:p>
        </w:tc>
        <w:tc>
          <w:tcPr>
            <w:tcW w:w="294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</w:tc>
        <w:tc>
          <w:tcPr>
            <w:tcW w:w="2182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В. Вахонина</w:t>
            </w:r>
          </w:p>
        </w:tc>
      </w:tr>
      <w:tr>
        <w:trPr/>
        <w:tc>
          <w:tcPr>
            <w:tcW w:w="515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94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182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276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4ee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d04ee8"/>
    <w:pPr>
      <w:keepNext w:val="true"/>
      <w:numPr>
        <w:ilvl w:val="0"/>
        <w:numId w:val="1"/>
      </w:numPr>
      <w:jc w:val="center"/>
      <w:outlineLvl w:val="0"/>
    </w:pPr>
    <w:rPr>
      <w:rFonts w:cs="Arial"/>
      <w:b/>
      <w:sz w:val="36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04ee8"/>
    <w:rPr>
      <w:rFonts w:ascii="Arial" w:hAnsi="Arial" w:eastAsia="Lucida Sans Unicode" w:cs="Arial"/>
      <w:b/>
      <w:kern w:val="2"/>
      <w:sz w:val="36"/>
      <w:szCs w:val="29"/>
    </w:rPr>
  </w:style>
  <w:style w:type="character" w:styleId="Style13" w:customStyle="1">
    <w:name w:val="Верхний колонтитул Знак"/>
    <w:basedOn w:val="DefaultParagraphFont"/>
    <w:qFormat/>
    <w:rsid w:val="00d04ee8"/>
    <w:rPr>
      <w:sz w:val="24"/>
      <w:szCs w:val="24"/>
    </w:rPr>
  </w:style>
  <w:style w:type="character" w:styleId="Pagenumber">
    <w:name w:val="page number"/>
    <w:basedOn w:val="DefaultParagraphFont"/>
    <w:qFormat/>
    <w:rsid w:val="00d04ee8"/>
    <w:rPr/>
  </w:style>
  <w:style w:type="character" w:styleId="WW8Num14z0">
    <w:name w:val="WW8Num14z0"/>
    <w:qFormat/>
    <w:rPr/>
  </w:style>
  <w:style w:type="character" w:styleId="5">
    <w:name w:val="Основной текст (5)"/>
    <w:qFormat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11">
    <w:name w:val="Основной текст Знак1"/>
    <w:qFormat/>
    <w:rPr>
      <w:sz w:val="28"/>
      <w:szCs w:val="28"/>
      <w:lang w:val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6f2d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d04ee8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Times New Roman" w:hAnsi="Times New Roman" w:eastAsia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7041d3"/>
    <w:pPr>
      <w:spacing w:before="0" w:after="0"/>
      <w:ind w:left="720"/>
      <w:contextualSpacing/>
    </w:pPr>
    <w:rPr/>
  </w:style>
  <w:style w:type="paragraph" w:styleId="Style17">
    <w:name w:val="Содержимое врезки"/>
    <w:basedOn w:val="Normal"/>
    <w:qFormat/>
    <w:pPr/>
    <w:rPr/>
  </w:style>
  <w:style w:type="paragraph" w:styleId="BodyTextIndent">
    <w:name w:val="Body Text Indent"/>
    <w:basedOn w:val="Normal"/>
    <w:pPr>
      <w:spacing w:before="0" w:after="120"/>
      <w:ind w:firstLine="709" w:left="283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;Times New Roman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Обычный (веб)"/>
    <w:basedOn w:val="Normal"/>
    <w:qFormat/>
    <w:pPr>
      <w:spacing w:before="280" w:after="0"/>
      <w:jc w:val="both"/>
    </w:pPr>
    <w:rPr>
      <w:color w:val="000000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Calibri" w:cs="Calibri"/>
      <w:sz w:val="22"/>
      <w:szCs w:val="22"/>
      <w:lang w:val="ru-RU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exact" w:line="274"/>
      <w:jc w:val="both"/>
    </w:pPr>
    <w:rPr>
      <w:i/>
      <w:iCs/>
      <w:sz w:val="23"/>
      <w:szCs w:val="23"/>
      <w:shd w:fill="FFFFFF" w:val="clear"/>
      <w:lang w:val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;Times New Roman" w:hAnsi="Times New Roman;Times New Roman" w:eastAsia="Calibri" w:cs="Times New Roman;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LibreOffice/7.6.7.2$Linux_X86_64 LibreOffice_project/60$Build-2</Application>
  <AppVersion>15.0000</AppVersion>
  <Pages>6</Pages>
  <Words>1493</Words>
  <Characters>11361</Characters>
  <CharactersWithSpaces>12751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2022-05-11T05:52:00Z</dcterms:created>
  <dc:creator>Сельсовет</dc:creator>
  <dc:description/>
  <dc:language>ru-RU</dc:language>
  <cp:lastModifiedBy/>
  <cp:lastPrinted>2025-04-30T13:18:03Z</cp:lastPrinted>
  <dcterms:modified xsi:type="dcterms:W3CDTF">2025-06-27T10:17:24Z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