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ПРОТОКОЛ ПУБЛИЧНЫХ СЛУШАНИЙ </w:t>
        <w:br/>
        <w:t xml:space="preserve">ИЗМЕНЕНИЯ В  «ПРАВИЛА ЗЕМЛЕПОЛЬЗОВАНИЯ И ЗАСТРОЙКИ ЧАСТИ ТЕРРИТОРИИ МУНИЦИПАЛЬНОГО ОБРАЗОВАНИЯ СЕЛЬСКОГО ПОСЕЛЕНИЯ ТЯГУНСКИЙ СЕЛЬСОВЕТ </w:t>
      </w:r>
    </w:p>
    <w:p>
      <w:pPr>
        <w:pStyle w:val="Normal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ЗАРИНСКОГО РАЙОНА АЛТАЙСКОГО КРАЯ»</w:t>
      </w:r>
    </w:p>
    <w:p>
      <w:pPr>
        <w:pStyle w:val="Normal"/>
        <w:jc w:val="center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</w:r>
    </w:p>
    <w:tbl>
      <w:tblPr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4785"/>
        <w:gridCol w:w="4784"/>
      </w:tblGrid>
      <w:tr>
        <w:trPr/>
        <w:tc>
          <w:tcPr>
            <w:tcW w:w="4785" w:type="dxa"/>
            <w:tcBorders/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6"/>
                <w:szCs w:val="26"/>
                <w:highlight w:val="yellow"/>
                <w:u w:val="single"/>
              </w:rPr>
            </w:pPr>
            <w:r>
              <w:rPr>
                <w:rFonts w:ascii="Times New Roman" w:hAnsi="Times New Roman"/>
                <w:sz w:val="26"/>
                <w:szCs w:val="26"/>
                <w:u w:val="single"/>
              </w:rPr>
              <w:t>г. Заринск</w:t>
            </w:r>
          </w:p>
        </w:tc>
        <w:tc>
          <w:tcPr>
            <w:tcW w:w="4784" w:type="dxa"/>
            <w:tcBorders/>
            <w:shd w:color="auto" w:fill="auto" w:val="clear"/>
          </w:tcPr>
          <w:p>
            <w:pPr>
              <w:pStyle w:val="Normal"/>
              <w:jc w:val="right"/>
              <w:rPr>
                <w:rFonts w:ascii="Times New Roman" w:hAnsi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/>
                <w:sz w:val="26"/>
                <w:szCs w:val="26"/>
                <w:u w:val="single"/>
              </w:rPr>
              <w:t>30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апреля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 xml:space="preserve"> 202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5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 xml:space="preserve"> г</w:t>
            </w:r>
          </w:p>
          <w:p>
            <w:pPr>
              <w:pStyle w:val="Normal"/>
              <w:jc w:val="right"/>
              <w:rPr>
                <w:rFonts w:ascii="Times New Roman" w:hAnsi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/>
                <w:sz w:val="26"/>
                <w:szCs w:val="26"/>
                <w:u w:val="single"/>
              </w:rPr>
              <w:t>в 12 часов</w:t>
            </w:r>
          </w:p>
        </w:tc>
      </w:tr>
    </w:tbl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widowControl/>
        <w:numPr>
          <w:ilvl w:val="0"/>
          <w:numId w:val="2"/>
        </w:numPr>
        <w:suppressAutoHyphens w:val="false"/>
        <w:ind w:hanging="360" w:left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Место проведения</w:t>
      </w:r>
    </w:p>
    <w:p>
      <w:pPr>
        <w:pStyle w:val="Normal"/>
        <w:ind w:firstLine="708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659100 Алтайский край, г. Заринск, ул. Ленина, 26.</w:t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ListParagraph"/>
        <w:numPr>
          <w:ilvl w:val="0"/>
          <w:numId w:val="2"/>
        </w:num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Участники публичных слушаний</w:t>
      </w:r>
    </w:p>
    <w:p>
      <w:pPr>
        <w:pStyle w:val="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Вахонина Н.В. начальник отдела архитектуры и градостроительства Администрации Заринского района Алтайского края;</w:t>
      </w:r>
    </w:p>
    <w:p>
      <w:pPr>
        <w:pStyle w:val="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Овчинников Ю.А. глава Тягунского сельсовета;</w:t>
      </w:r>
    </w:p>
    <w:p>
      <w:pPr>
        <w:pStyle w:val="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Граждане, принявшие участие в слушаниях зарегистрированы в списке участников слушаний, который является неотъемлемым приложением к протоколу. С приложением можно ознакомиться в Администрации Заринского района, приложение обнародованию не подлежит.</w:t>
      </w:r>
    </w:p>
    <w:p>
      <w:pPr>
        <w:pStyle w:val="Normal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widowControl/>
        <w:numPr>
          <w:ilvl w:val="0"/>
          <w:numId w:val="3"/>
        </w:numPr>
        <w:suppressAutoHyphens w:val="false"/>
        <w:ind w:hanging="360" w:left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Повестка публичных слушаний</w:t>
      </w:r>
    </w:p>
    <w:p>
      <w:pPr>
        <w:pStyle w:val="Normal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Внесение изменений в «Правила землепользования и застройки части территории муниципального образования сельского поселения Тягунский сельсовет Заринского района Алтайского края».</w:t>
      </w:r>
    </w:p>
    <w:p>
      <w:pPr>
        <w:pStyle w:val="Normal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widowControl/>
        <w:numPr>
          <w:ilvl w:val="0"/>
          <w:numId w:val="3"/>
        </w:numPr>
        <w:suppressAutoHyphens w:val="false"/>
        <w:ind w:hanging="360" w:left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Основание для проведения публичных слушаний</w:t>
      </w:r>
    </w:p>
    <w:p>
      <w:pPr>
        <w:pStyle w:val="Normal"/>
        <w:widowControl/>
        <w:suppressAutoHyphens w:val="false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ind w:firstLine="709"/>
        <w:jc w:val="both"/>
        <w:rPr>
          <w:rFonts w:ascii="Times New Roman" w:hAnsi="Times New Roman" w:eastAsia="Times New Roman"/>
          <w:kern w:val="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Постановление Администрации Заринского района Алтайского края </w:t>
      </w:r>
      <w:r>
        <w:rPr>
          <w:rFonts w:ascii="Times New Roman" w:hAnsi="Times New Roman"/>
          <w:bCs/>
          <w:iCs/>
          <w:sz w:val="26"/>
          <w:szCs w:val="26"/>
        </w:rPr>
        <w:t xml:space="preserve">№ </w:t>
      </w:r>
      <w:r>
        <w:rPr>
          <w:rFonts w:ascii="Times New Roman" w:hAnsi="Times New Roman"/>
          <w:bCs/>
          <w:iCs/>
          <w:sz w:val="26"/>
          <w:szCs w:val="26"/>
        </w:rPr>
        <w:t>256</w:t>
      </w:r>
      <w:r>
        <w:rPr>
          <w:rFonts w:ascii="Times New Roman" w:hAnsi="Times New Roman"/>
          <w:bCs/>
          <w:iCs/>
          <w:sz w:val="26"/>
          <w:szCs w:val="26"/>
        </w:rPr>
        <w:t xml:space="preserve"> от </w:t>
      </w:r>
      <w:r>
        <w:rPr>
          <w:rFonts w:ascii="Times New Roman" w:hAnsi="Times New Roman"/>
          <w:bCs/>
          <w:iCs/>
          <w:sz w:val="26"/>
          <w:szCs w:val="26"/>
        </w:rPr>
        <w:t>27.03.2025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г. «</w:t>
      </w:r>
      <w:r>
        <w:rPr>
          <w:rFonts w:eastAsia="Times New Roman" w:ascii="Times New Roman" w:hAnsi="Times New Roman"/>
          <w:kern w:val="0"/>
          <w:sz w:val="26"/>
          <w:szCs w:val="26"/>
        </w:rPr>
        <w:t>О назначении публичных слушаний по внесению изменений и дополнений в Правила землепользования и застройки части территории муниципального образования</w:t>
      </w:r>
      <w:r>
        <w:rPr/>
        <w:t xml:space="preserve"> </w:t>
      </w:r>
      <w:r>
        <w:rPr>
          <w:rFonts w:eastAsia="Times New Roman" w:ascii="Times New Roman" w:hAnsi="Times New Roman"/>
          <w:kern w:val="0"/>
          <w:sz w:val="26"/>
          <w:szCs w:val="26"/>
        </w:rPr>
        <w:t>сельского поселения Тягунский сельсовет Заринского района Алтайского края</w:t>
      </w:r>
      <w:r>
        <w:rPr>
          <w:rFonts w:ascii="Times New Roman" w:hAnsi="Times New Roman"/>
          <w:sz w:val="26"/>
          <w:szCs w:val="26"/>
        </w:rPr>
        <w:t xml:space="preserve">», на сайте Администрации Заринского района Алтайского края. Проект Правил размещен на сайте Администрации </w:t>
      </w:r>
      <w:r>
        <w:rPr>
          <w:rFonts w:ascii="Times New Roman" w:hAnsi="Times New Roman"/>
          <w:sz w:val="26"/>
          <w:szCs w:val="26"/>
        </w:rPr>
        <w:t>Тягунскогосельсовета</w:t>
      </w:r>
      <w:r>
        <w:rPr>
          <w:rFonts w:ascii="Times New Roman" w:hAnsi="Times New Roman"/>
          <w:sz w:val="26"/>
          <w:szCs w:val="26"/>
        </w:rPr>
        <w:t xml:space="preserve"> Алтайского края и на информационном стенде Администрации </w:t>
      </w:r>
      <w:r>
        <w:rPr>
          <w:rFonts w:ascii="Times New Roman" w:hAnsi="Times New Roman"/>
          <w:sz w:val="26"/>
          <w:szCs w:val="26"/>
        </w:rPr>
        <w:t>Тягунского</w:t>
      </w:r>
      <w:r>
        <w:rPr>
          <w:rFonts w:ascii="Times New Roman" w:hAnsi="Times New Roman"/>
          <w:sz w:val="26"/>
          <w:szCs w:val="26"/>
        </w:rPr>
        <w:t xml:space="preserve"> сельсовета.</w:t>
      </w:r>
    </w:p>
    <w:p>
      <w:pPr>
        <w:pStyle w:val="Normal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widowControl/>
        <w:numPr>
          <w:ilvl w:val="0"/>
          <w:numId w:val="3"/>
        </w:numPr>
        <w:suppressAutoHyphens w:val="false"/>
        <w:ind w:hanging="360" w:left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Цель проведения публичных слушаний</w:t>
      </w:r>
    </w:p>
    <w:p>
      <w:pPr>
        <w:pStyle w:val="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Информирования общественности и органов местного самоуправления о фактах и существующих мнениях по обсуждаемой проблеме.</w:t>
      </w:r>
    </w:p>
    <w:p>
      <w:pPr>
        <w:pStyle w:val="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Выявление общественного мнения по теме и вопросам, выносимым на публичные слушания.</w:t>
      </w:r>
    </w:p>
    <w:p>
      <w:pPr>
        <w:pStyle w:val="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Осуществления связи, диалога органов местного самоуправления с общественностью муниципального образования.</w:t>
      </w:r>
    </w:p>
    <w:p>
      <w:pPr>
        <w:pStyle w:val="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Подготовки предложений и рекомендаций по обсуждаемой теме.</w:t>
      </w:r>
    </w:p>
    <w:p>
      <w:pPr>
        <w:pStyle w:val="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Оказания влияния общественности на принятие решений органами местного самоуправления.</w:t>
      </w:r>
    </w:p>
    <w:p>
      <w:pPr>
        <w:pStyle w:val="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Слушания носят рекомендательный характер.</w:t>
      </w:r>
    </w:p>
    <w:p>
      <w:pPr>
        <w:pStyle w:val="Normal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widowControl/>
        <w:numPr>
          <w:ilvl w:val="0"/>
          <w:numId w:val="3"/>
        </w:numPr>
        <w:suppressAutoHyphens w:val="false"/>
        <w:ind w:hanging="360" w:left="0"/>
        <w:jc w:val="center"/>
        <w:rPr>
          <w:rFonts w:ascii="Times New Roman" w:hAnsi="Times New Roman"/>
          <w:b/>
          <w:i/>
          <w:i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</w:rPr>
        <w:t>Порядок проведения публичных слушаний</w:t>
      </w:r>
    </w:p>
    <w:p>
      <w:pPr>
        <w:pStyle w:val="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Выступление Н.В. Вахониной, заместителя председателя комиссии по разработке проекта Правил,</w:t>
      </w:r>
      <w:r>
        <w:rPr>
          <w:rFonts w:ascii="Times New Roman" w:hAnsi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 докладом по внесению изменений в «Правила землепользования и застройки части территории муниципального образования</w:t>
      </w:r>
      <w:r>
        <w:rPr/>
        <w:t xml:space="preserve"> </w:t>
      </w:r>
      <w:r>
        <w:rPr>
          <w:rFonts w:ascii="Times New Roman" w:hAnsi="Times New Roman"/>
          <w:sz w:val="26"/>
          <w:szCs w:val="26"/>
        </w:rPr>
        <w:t>сельского поселения</w:t>
      </w:r>
      <w:r>
        <w:rPr/>
        <w:t xml:space="preserve"> </w:t>
      </w:r>
      <w:r>
        <w:rPr>
          <w:rFonts w:ascii="Times New Roman" w:hAnsi="Times New Roman"/>
          <w:sz w:val="26"/>
          <w:szCs w:val="26"/>
        </w:rPr>
        <w:t>Тягунский сельсовет Заринского района Алтайского края».</w:t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2. Рассмотрение вопросов и предложений участников публичных слушаний.</w:t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3. Принятие решения по проведению публичных слушаний.</w:t>
      </w:r>
    </w:p>
    <w:p>
      <w:pPr>
        <w:pStyle w:val="Normal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Для работы предлагается установить следующий регламент: время выступления – 15 минут, прения – не более 10 минут. По предложенному порядку проведения публичных слушаний – замечаний и предложений от участников слушаний не поступило.</w:t>
      </w:r>
    </w:p>
    <w:p>
      <w:pPr>
        <w:pStyle w:val="Normal"/>
        <w:jc w:val="center"/>
        <w:rPr>
          <w:rFonts w:ascii="Times New Roman" w:hAnsi="Times New Roman"/>
          <w:b/>
          <w:i/>
          <w:i/>
          <w:sz w:val="26"/>
          <w:szCs w:val="26"/>
          <w:u w:val="single"/>
        </w:rPr>
      </w:pPr>
      <w:r>
        <w:rPr>
          <w:rFonts w:ascii="Times New Roman" w:hAnsi="Times New Roman"/>
          <w:b/>
          <w:i/>
          <w:sz w:val="26"/>
          <w:szCs w:val="26"/>
          <w:u w:val="single"/>
        </w:rPr>
      </w:r>
    </w:p>
    <w:p>
      <w:pPr>
        <w:pStyle w:val="Normal"/>
        <w:widowControl/>
        <w:numPr>
          <w:ilvl w:val="0"/>
          <w:numId w:val="3"/>
        </w:numPr>
        <w:suppressAutoHyphens w:val="false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Доклад по внесению изменений в «Правила землепользования и застройки части территории муниципального образования</w:t>
      </w:r>
      <w:r>
        <w:rPr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сельского поселения Тягунский сельсовет Заринского района Алтайского края».</w:t>
      </w:r>
    </w:p>
    <w:p>
      <w:pPr>
        <w:pStyle w:val="Normal"/>
        <w:widowControl/>
        <w:suppressAutoHyphens w:val="false"/>
        <w:ind w:left="1068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pStyle w:val="Normal"/>
        <w:ind w:firstLine="709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1. Внести в решение Заринского районного совета народных депутатов Алтайского края от 26.11.2024 года № 78 Об утверждении «Правила землепользования и застройки части территории муниципального образования сельского поселения Тягунский сельсовет Заринского района Алтайского края» следующие изменения:</w:t>
      </w:r>
    </w:p>
    <w:p>
      <w:pPr>
        <w:pStyle w:val="Normal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 xml:space="preserve">Правила землепользования и застройки являются нормативно-правовым актом МО СП Тягунский сельсовет, регламентирующим деятельность органов и должностных лиц местного самоуправления, а также физических и юридических лиц в области землепользования и застройки. </w:t>
      </w:r>
    </w:p>
    <w:p>
      <w:pPr>
        <w:pStyle w:val="Normal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Внесение изменений в Правила разработаны в соответствии с изменениями, внесенными в генеральный план МО, а также требованиями Градостроительного кодекса и других нормативных документов.</w:t>
      </w:r>
    </w:p>
    <w:p>
      <w:pPr>
        <w:pStyle w:val="BodyTextIndent"/>
        <w:spacing w:before="0" w:after="0"/>
        <w:ind w:left="0" w:right="0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Правила содержат:</w:t>
      </w:r>
    </w:p>
    <w:p>
      <w:pPr>
        <w:pStyle w:val="BodyTextIndent"/>
        <w:numPr>
          <w:ilvl w:val="0"/>
          <w:numId w:val="4"/>
        </w:numPr>
        <w:tabs>
          <w:tab w:val="clear" w:pos="708"/>
          <w:tab w:val="left" w:pos="720" w:leader="none"/>
          <w:tab w:val="left" w:pos="1080" w:leader="none"/>
        </w:tabs>
        <w:spacing w:before="0" w:after="0"/>
        <w:ind w:firstLine="709" w:left="0" w:right="0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общую часть (порядок применения настоящих Правил и внесения в них изменений);</w:t>
      </w:r>
    </w:p>
    <w:p>
      <w:pPr>
        <w:pStyle w:val="BodyTextIndent"/>
        <w:numPr>
          <w:ilvl w:val="0"/>
          <w:numId w:val="4"/>
        </w:numPr>
        <w:tabs>
          <w:tab w:val="clear" w:pos="708"/>
          <w:tab w:val="left" w:pos="993" w:leader="none"/>
        </w:tabs>
        <w:spacing w:before="0" w:after="0"/>
        <w:ind w:firstLine="709" w:left="0" w:right="0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карту градостроительного зонирования;</w:t>
      </w:r>
    </w:p>
    <w:p>
      <w:pPr>
        <w:pStyle w:val="BodyTextIndent"/>
        <w:numPr>
          <w:ilvl w:val="0"/>
          <w:numId w:val="4"/>
        </w:numPr>
        <w:tabs>
          <w:tab w:val="clear" w:pos="708"/>
          <w:tab w:val="left" w:pos="993" w:leader="none"/>
        </w:tabs>
        <w:spacing w:before="0" w:after="0"/>
        <w:ind w:firstLine="709" w:left="0" w:right="0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градостроительные регламенты.</w:t>
      </w:r>
    </w:p>
    <w:p>
      <w:pPr>
        <w:pStyle w:val="Normal"/>
        <w:tabs>
          <w:tab w:val="clear" w:pos="708"/>
          <w:tab w:val="left" w:pos="0" w:leader="none"/>
        </w:tabs>
        <w:ind w:firstLine="709" w:left="142" w:right="102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Настоящие Правила действуют на всей территории МО СП Тягунский сельсовет.</w:t>
      </w:r>
    </w:p>
    <w:p>
      <w:pPr>
        <w:pStyle w:val="Normal"/>
        <w:ind w:firstLine="709" w:right="0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 xml:space="preserve">Первая часть - Порядок применения и внесения изменений в ПЗЗ – это теоретическая, базовая часть данного документа, в которой отображаются положения: </w:t>
      </w:r>
    </w:p>
    <w:p>
      <w:pPr>
        <w:pStyle w:val="Normal"/>
        <w:ind w:firstLine="1069" w:right="0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- о регулировании землепользования и застройки органами местного самоуправления;</w:t>
      </w:r>
    </w:p>
    <w:p>
      <w:pPr>
        <w:pStyle w:val="Normal"/>
        <w:ind w:firstLine="1069" w:right="0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- об изменении видов разрешенного использования ЗУ и ОКС физическими и юридическими лицами и об отклонение от предельных параметров разрешенного строительства, реконструкции ОКС физическими и юридическими лицами;</w:t>
      </w:r>
    </w:p>
    <w:p>
      <w:pPr>
        <w:pStyle w:val="Normal"/>
        <w:ind w:firstLine="1069" w:right="0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- о подготовке документации по планировке территории органами местного самоуправления;</w:t>
      </w:r>
    </w:p>
    <w:p>
      <w:pPr>
        <w:pStyle w:val="Normal"/>
        <w:ind w:firstLine="1069" w:right="0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- о проведении общественных обсуждений или публичных слушаний по вопросам землепользования и застройки;</w:t>
      </w:r>
    </w:p>
    <w:p>
      <w:pPr>
        <w:pStyle w:val="Normal"/>
        <w:ind w:firstLine="1069" w:right="0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- о внесении изменений в правила землепользования и застройки;</w:t>
      </w:r>
    </w:p>
    <w:p>
      <w:pPr>
        <w:pStyle w:val="Normal"/>
        <w:ind w:firstLine="1069" w:right="0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- о регулировании иных вопросов землепользования и застройки.</w:t>
      </w:r>
    </w:p>
    <w:p>
      <w:pPr>
        <w:pStyle w:val="Normal"/>
        <w:ind w:firstLine="709" w:right="0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Вторая часть – Карта градостроительного зонирования</w:t>
      </w:r>
    </w:p>
    <w:p>
      <w:pPr>
        <w:pStyle w:val="Normal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 xml:space="preserve">Карта градостроительного зонирования - это своеобразная иллюстрация документа ПЗЗ. </w:t>
      </w:r>
    </w:p>
    <w:p>
      <w:pPr>
        <w:pStyle w:val="Normal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На карте устанавливаются границы территориальных зон, а также в обязательном порядке отображаются:</w:t>
      </w:r>
    </w:p>
    <w:p>
      <w:pPr>
        <w:pStyle w:val="Normal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- границы населенных пунктов, входящих в состав поселения;</w:t>
      </w:r>
    </w:p>
    <w:p>
      <w:pPr>
        <w:pStyle w:val="Normal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- границы территорий объектов культурного наследия;</w:t>
      </w:r>
    </w:p>
    <w:p>
      <w:pPr>
        <w:pStyle w:val="Normal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- границы зон с особыми условиями использования территории;</w:t>
      </w:r>
    </w:p>
    <w:p>
      <w:pPr>
        <w:pStyle w:val="Normal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- границы территорий исторических поселений федерального и регионального значений.</w:t>
      </w:r>
    </w:p>
    <w:p>
      <w:pPr>
        <w:pStyle w:val="Normal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При этом все перечисленные границы могут отображаться либо на отдельных картах, либо на одной.</w:t>
      </w:r>
    </w:p>
    <w:p>
      <w:pPr>
        <w:pStyle w:val="Normal"/>
        <w:widowControl w:val="false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 xml:space="preserve">Зоны с особыми условиями использования территории отображаются в основном только те, сведения о которых внесены в ЕГРН. Данные зоны накладывают дополнительные ограничения на использование земельных участков. В МО Тягунский сельсовет это: </w:t>
      </w:r>
    </w:p>
    <w:p>
      <w:pPr>
        <w:pStyle w:val="Normal"/>
        <w:widowControl w:val="false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- охранные зоны инженерных коммуникаций;</w:t>
      </w:r>
    </w:p>
    <w:p>
      <w:pPr>
        <w:pStyle w:val="Normal"/>
        <w:widowControl w:val="false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- придорожная полоса;</w:t>
      </w:r>
    </w:p>
    <w:p>
      <w:pPr>
        <w:pStyle w:val="Normal"/>
        <w:widowControl w:val="false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- водоохранные зоны и прибрежные защитные полосы;</w:t>
      </w:r>
    </w:p>
    <w:p>
      <w:pPr>
        <w:pStyle w:val="Normal"/>
        <w:widowControl w:val="false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- зона охранны объектовкультурного наследия;</w:t>
      </w:r>
    </w:p>
    <w:p>
      <w:pPr>
        <w:pStyle w:val="Normal"/>
        <w:widowControl w:val="false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- санитарно-защитная зона предприятий, сооружений и иных объектов,</w:t>
      </w:r>
    </w:p>
    <w:p>
      <w:pPr>
        <w:pStyle w:val="Normal"/>
        <w:widowControl w:val="false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- зоны санитарной охраны источников питьевого и хозяйственно-бытового водоснабжения,</w:t>
      </w:r>
    </w:p>
    <w:p>
      <w:pPr>
        <w:pStyle w:val="Normal"/>
        <w:widowControl w:val="false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- охранная зона геодезических пунктов государственной геодезической сети, нивелирных пунктов государственной нивелирной сети и гравиметрических пунктов государственной гравиметрической сети.</w:t>
      </w:r>
    </w:p>
    <w:p>
      <w:pPr>
        <w:pStyle w:val="ConsPlusNormal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Для каждого типа территориальной зоны разработаны градостроительные регламенты, где указаны:</w:t>
      </w:r>
    </w:p>
    <w:p>
      <w:pPr>
        <w:pStyle w:val="ConsPlusNormal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 xml:space="preserve">– </w:t>
      </w:r>
      <w:r>
        <w:rPr>
          <w:rFonts w:eastAsia="Lucida Sans Unicode" w:ascii="Times New Roman" w:hAnsi="Times New Roman"/>
          <w:kern w:val="2"/>
          <w:sz w:val="26"/>
          <w:szCs w:val="26"/>
        </w:rPr>
        <w:t>виды разрешенного использования земельных участков и объектов капитального строительства;</w:t>
      </w:r>
    </w:p>
    <w:p>
      <w:pPr>
        <w:pStyle w:val="ConsPlusNormal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 xml:space="preserve">– </w:t>
      </w:r>
      <w:r>
        <w:rPr>
          <w:rFonts w:eastAsia="Lucida Sans Unicode" w:ascii="Times New Roman" w:hAnsi="Times New Roman"/>
          <w:kern w:val="2"/>
          <w:sz w:val="26"/>
          <w:szCs w:val="26"/>
        </w:rPr>
        <w:t>предельные (максимальные и (или) минимальные)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>
      <w:pPr>
        <w:pStyle w:val="ConsPlusNormal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 xml:space="preserve">– </w:t>
      </w:r>
      <w:r>
        <w:rPr>
          <w:rFonts w:eastAsia="Lucida Sans Unicode" w:ascii="Times New Roman" w:hAnsi="Times New Roman"/>
          <w:kern w:val="2"/>
          <w:sz w:val="26"/>
          <w:szCs w:val="26"/>
        </w:rPr>
        <w:t>ограничения использования земельных участков и объектов капитального строительства.</w:t>
      </w:r>
    </w:p>
    <w:p>
      <w:pPr>
        <w:pStyle w:val="Normal"/>
        <w:widowControl w:val="false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Действие градостроительного регламента не распространяется на земельные участки:</w:t>
      </w:r>
    </w:p>
    <w:p>
      <w:pPr>
        <w:pStyle w:val="Normal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 xml:space="preserve">– </w:t>
      </w:r>
      <w:r>
        <w:rPr>
          <w:rFonts w:eastAsia="Lucida Sans Unicode" w:ascii="Times New Roman" w:hAnsi="Times New Roman"/>
          <w:kern w:val="2"/>
          <w:sz w:val="26"/>
          <w:szCs w:val="26"/>
        </w:rPr>
        <w:t>в границах территорий памятников и ансамблей, включенных в единый государственный реестр объектов культурного наследия (памятников истории и культуры) народов Российской Федерации, а также в границах территорий памятников или ансамблей, которые являются выявленными объектами культурного наследия и решения о режиме содержания, параметрах реставрации, консервации, воссоздания, ремонта и приспособлении которых принимаются в порядке, установленном законодательством Российской Федерации об охране объектов культурного наследия;</w:t>
      </w:r>
    </w:p>
    <w:p>
      <w:pPr>
        <w:pStyle w:val="Normal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 xml:space="preserve">– </w:t>
      </w:r>
      <w:r>
        <w:rPr>
          <w:rFonts w:eastAsia="Lucida Sans Unicode" w:ascii="Times New Roman" w:hAnsi="Times New Roman"/>
          <w:kern w:val="2"/>
          <w:sz w:val="26"/>
          <w:szCs w:val="26"/>
        </w:rPr>
        <w:t>в границах территорий общего пользования;</w:t>
      </w:r>
    </w:p>
    <w:p>
      <w:pPr>
        <w:pStyle w:val="Normal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 xml:space="preserve">– </w:t>
      </w:r>
      <w:r>
        <w:rPr>
          <w:rFonts w:eastAsia="Lucida Sans Unicode" w:ascii="Times New Roman" w:hAnsi="Times New Roman"/>
          <w:kern w:val="2"/>
          <w:sz w:val="26"/>
          <w:szCs w:val="26"/>
        </w:rPr>
        <w:t>предназначенные для размещения линейных объектов и (или) занятые линейными объектами;</w:t>
      </w:r>
    </w:p>
    <w:p>
      <w:pPr>
        <w:pStyle w:val="Normal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 xml:space="preserve">– </w:t>
      </w:r>
      <w:r>
        <w:rPr>
          <w:rFonts w:eastAsia="Lucida Sans Unicode" w:ascii="Times New Roman" w:hAnsi="Times New Roman"/>
          <w:kern w:val="2"/>
          <w:sz w:val="26"/>
          <w:szCs w:val="26"/>
        </w:rPr>
        <w:t>предоставленные для добычи полезных ископаемых.</w:t>
      </w:r>
    </w:p>
    <w:p>
      <w:pPr>
        <w:pStyle w:val="Normal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Градостроительные регламенты не устанавливаются для земель лесного фонда, земель, покрытых поверхностными водами, земель запаса, земель особо охраняемых природных территорий (за исключением земель лечебно-оздоровительных местностей и курортов), сельскохозяйственных угодий в составе земель сельскохозяйственного назначения, земельных участков, расположенных в границах особых экономических зон и территорий опережающего социально-экономического развития.</w:t>
      </w:r>
    </w:p>
    <w:p>
      <w:pPr>
        <w:pStyle w:val="Style18"/>
        <w:spacing w:before="0" w:after="0"/>
        <w:ind w:firstLine="709" w:right="0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Наименования видов разрешенного использования определены по Классификатору, утвержденному Приказом Росреестра от 10.11.2020 № П/0412 «Об утверждении классификатора видов разрешенного использования земельных участков» (Зарегистрировано в Минюсте России 15.12.2020 № 61482).</w:t>
      </w:r>
    </w:p>
    <w:p>
      <w:pPr>
        <w:pStyle w:val="Style19"/>
        <w:widowControl w:val="false"/>
        <w:shd w:fill="FFFFFF" w:val="clear"/>
        <w:tabs>
          <w:tab w:val="clear" w:pos="708"/>
          <w:tab w:val="left" w:pos="993" w:leader="none"/>
          <w:tab w:val="left" w:pos="1418" w:leader="none"/>
        </w:tabs>
        <w:spacing w:lineRule="auto" w:line="240" w:before="0" w:after="0"/>
        <w:ind w:left="709" w:right="0"/>
        <w:textAlignment w:val="baseline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</w:r>
    </w:p>
    <w:p>
      <w:pPr>
        <w:pStyle w:val="Style19"/>
        <w:widowControl w:val="false"/>
        <w:shd w:fill="FFFFFF" w:val="clear"/>
        <w:tabs>
          <w:tab w:val="clear" w:pos="708"/>
          <w:tab w:val="left" w:pos="993" w:leader="none"/>
          <w:tab w:val="left" w:pos="1418" w:leader="none"/>
        </w:tabs>
        <w:spacing w:lineRule="auto" w:line="240" w:before="0" w:after="0"/>
        <w:ind w:left="709" w:right="0"/>
        <w:textAlignment w:val="baseline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Разрешенное использование земельных участков и объектов капитального строительства может быть следующих видов:  </w:t>
      </w:r>
    </w:p>
    <w:p>
      <w:pPr>
        <w:pStyle w:val="Style19"/>
        <w:widowControl w:val="false"/>
        <w:numPr>
          <w:ilvl w:val="0"/>
          <w:numId w:val="5"/>
        </w:numPr>
        <w:shd w:fill="FFFFFF" w:val="clear"/>
        <w:tabs>
          <w:tab w:val="clear" w:pos="708"/>
          <w:tab w:val="left" w:pos="993" w:leader="none"/>
          <w:tab w:val="left" w:pos="1418" w:leader="none"/>
        </w:tabs>
        <w:spacing w:lineRule="auto" w:line="240" w:before="0" w:after="0"/>
        <w:ind w:firstLine="709" w:left="0" w:right="0"/>
        <w:contextualSpacing/>
        <w:jc w:val="both"/>
        <w:textAlignment w:val="baseline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основные виды разрешенного использования;</w:t>
      </w:r>
    </w:p>
    <w:p>
      <w:pPr>
        <w:pStyle w:val="Style19"/>
        <w:widowControl w:val="false"/>
        <w:numPr>
          <w:ilvl w:val="0"/>
          <w:numId w:val="5"/>
        </w:numPr>
        <w:shd w:fill="FFFFFF" w:val="clear"/>
        <w:tabs>
          <w:tab w:val="clear" w:pos="708"/>
          <w:tab w:val="left" w:pos="993" w:leader="none"/>
          <w:tab w:val="left" w:pos="1418" w:leader="none"/>
        </w:tabs>
        <w:spacing w:lineRule="auto" w:line="240" w:before="0" w:after="0"/>
        <w:ind w:firstLine="709" w:left="0" w:right="0"/>
        <w:contextualSpacing/>
        <w:jc w:val="both"/>
        <w:textAlignment w:val="baseline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условно разрешенные виды использования;     </w:t>
      </w:r>
    </w:p>
    <w:p>
      <w:pPr>
        <w:pStyle w:val="Style19"/>
        <w:numPr>
          <w:ilvl w:val="0"/>
          <w:numId w:val="5"/>
        </w:numPr>
        <w:tabs>
          <w:tab w:val="clear" w:pos="708"/>
          <w:tab w:val="left" w:pos="993" w:leader="none"/>
          <w:tab w:val="left" w:pos="1418" w:leader="none"/>
        </w:tabs>
        <w:spacing w:lineRule="auto" w:line="240" w:before="0" w:after="0"/>
        <w:ind w:firstLine="709" w:left="0" w:right="0"/>
        <w:contextualSpacing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вспомогательные виды разрешенного использования,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ними.</w:t>
      </w:r>
    </w:p>
    <w:p>
      <w:pPr>
        <w:pStyle w:val="Normal"/>
        <w:widowControl w:val="false"/>
        <w:shd w:fill="FFFFFF" w:val="clear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Порядок изменения одного вида на другой вид разрешенного использования земельных участков и объектов капитального строительства, определяется градостроительным законодательством, настоящими Правилами, иными муниципальными нормативными правовыми актами.</w:t>
      </w:r>
    </w:p>
    <w:p>
      <w:pPr>
        <w:pStyle w:val="Normal"/>
        <w:autoSpaceDE w:val="false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p>
      <w:pPr>
        <w:pStyle w:val="Normal"/>
        <w:widowControl w:val="false"/>
        <w:shd w:fill="FFFFFF" w:val="clear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согласования.</w:t>
      </w:r>
    </w:p>
    <w:p>
      <w:pPr>
        <w:pStyle w:val="Normal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 принимаются в соответствии с федеральными законами.</w:t>
      </w:r>
    </w:p>
    <w:p>
      <w:pPr>
        <w:pStyle w:val="Normal"/>
        <w:widowControl w:val="false"/>
        <w:shd w:fill="FFFFFF" w:val="clear"/>
        <w:snapToGrid w:val="false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Рассмотрим подробно установленные регламенты на примере одной зоны.</w:t>
      </w:r>
    </w:p>
    <w:p>
      <w:pPr>
        <w:pStyle w:val="Normal"/>
        <w:widowControl w:val="false"/>
        <w:shd w:fill="FFFFFF" w:val="clear"/>
        <w:snapToGrid w:val="false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Общественно-деловые зоны (код зоны – ОД) предназначена для размещения объектов общественно-делового, торгового, учебно-образовательного, спортивного назначения, объектов здравоохранения и соцобеспечения, связанных с обеспечением жизнедеятельности граждан.</w:t>
      </w:r>
    </w:p>
    <w:p>
      <w:pPr>
        <w:pStyle w:val="Normal"/>
        <w:keepNext w:val="true"/>
        <w:keepLines/>
        <w:shd w:fill="FFFFFF" w:val="clear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Основные виды использования земельных участков и объектов капитального строительства данной зоны:</w:t>
      </w:r>
    </w:p>
    <w:p>
      <w:pPr>
        <w:pStyle w:val="Normal"/>
        <w:widowControl w:val="false"/>
        <w:shd w:fill="FFFFFF" w:val="clear"/>
        <w:snapToGrid w:val="false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- Магазины</w:t>
      </w:r>
    </w:p>
    <w:p>
      <w:pPr>
        <w:pStyle w:val="Normal"/>
        <w:widowControl w:val="false"/>
        <w:shd w:fill="FFFFFF" w:val="clear"/>
        <w:snapToGrid w:val="false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 xml:space="preserve">- Рынки </w:t>
      </w:r>
    </w:p>
    <w:p>
      <w:pPr>
        <w:pStyle w:val="Normal"/>
        <w:widowControl w:val="false"/>
        <w:shd w:fill="FFFFFF" w:val="clear"/>
        <w:snapToGrid w:val="false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- Здравоохранение</w:t>
      </w:r>
    </w:p>
    <w:p>
      <w:pPr>
        <w:pStyle w:val="Normal"/>
        <w:widowControl w:val="false"/>
        <w:shd w:fill="FFFFFF" w:val="clear"/>
        <w:snapToGrid w:val="false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- Культурное развитие</w:t>
      </w:r>
    </w:p>
    <w:p>
      <w:pPr>
        <w:pStyle w:val="Normal"/>
        <w:widowControl w:val="false"/>
        <w:shd w:fill="FFFFFF" w:val="clear"/>
        <w:snapToGrid w:val="false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- Бытовое обслуживание</w:t>
      </w:r>
    </w:p>
    <w:p>
      <w:pPr>
        <w:pStyle w:val="Normal"/>
        <w:widowControl w:val="false"/>
        <w:suppressLineNumbers/>
        <w:tabs>
          <w:tab w:val="clear" w:pos="708"/>
          <w:tab w:val="right" w:pos="9360" w:leader="dot"/>
        </w:tabs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- Социальное обслуживание</w:t>
      </w:r>
    </w:p>
    <w:p>
      <w:pPr>
        <w:pStyle w:val="Normal"/>
        <w:widowControl w:val="false"/>
        <w:suppressLineNumbers/>
        <w:tabs>
          <w:tab w:val="clear" w:pos="708"/>
          <w:tab w:val="right" w:pos="9360" w:leader="dot"/>
        </w:tabs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 xml:space="preserve">- Общественное управление </w:t>
      </w:r>
    </w:p>
    <w:p>
      <w:pPr>
        <w:pStyle w:val="Normal"/>
        <w:widowControl w:val="false"/>
        <w:suppressLineNumbers/>
        <w:tabs>
          <w:tab w:val="clear" w:pos="708"/>
          <w:tab w:val="right" w:pos="9360" w:leader="dot"/>
        </w:tabs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- Деловое управление</w:t>
      </w:r>
    </w:p>
    <w:p>
      <w:pPr>
        <w:pStyle w:val="Normal"/>
        <w:widowControl w:val="false"/>
        <w:suppressLineNumbers/>
        <w:tabs>
          <w:tab w:val="clear" w:pos="708"/>
          <w:tab w:val="right" w:pos="9360" w:leader="dot"/>
        </w:tabs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- Банковская и страховая деятельность</w:t>
      </w:r>
    </w:p>
    <w:p>
      <w:pPr>
        <w:pStyle w:val="Normal"/>
        <w:widowControl w:val="false"/>
        <w:suppressLineNumbers/>
        <w:tabs>
          <w:tab w:val="clear" w:pos="708"/>
          <w:tab w:val="right" w:pos="9360" w:leader="dot"/>
        </w:tabs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- Гостиничное обслуживание</w:t>
      </w:r>
    </w:p>
    <w:p>
      <w:pPr>
        <w:pStyle w:val="Normal"/>
        <w:widowControl w:val="false"/>
        <w:suppressLineNumbers/>
        <w:tabs>
          <w:tab w:val="clear" w:pos="708"/>
          <w:tab w:val="right" w:pos="9360" w:leader="dot"/>
        </w:tabs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- Общественное питание</w:t>
      </w:r>
    </w:p>
    <w:p>
      <w:pPr>
        <w:pStyle w:val="Normal"/>
        <w:widowControl w:val="false"/>
        <w:suppressLineNumbers/>
        <w:tabs>
          <w:tab w:val="clear" w:pos="708"/>
          <w:tab w:val="right" w:pos="9360" w:leader="dot"/>
        </w:tabs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 xml:space="preserve">- Образование и просвещение </w:t>
      </w:r>
    </w:p>
    <w:p>
      <w:pPr>
        <w:pStyle w:val="Normal"/>
        <w:widowControl w:val="false"/>
        <w:suppressLineNumbers/>
        <w:tabs>
          <w:tab w:val="clear" w:pos="708"/>
          <w:tab w:val="right" w:pos="9360" w:leader="dot"/>
        </w:tabs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- Развлекательные мероприятия</w:t>
      </w:r>
    </w:p>
    <w:p>
      <w:pPr>
        <w:pStyle w:val="Normal"/>
        <w:widowControl w:val="false"/>
        <w:suppressLineNumbers/>
        <w:tabs>
          <w:tab w:val="clear" w:pos="708"/>
          <w:tab w:val="right" w:pos="9360" w:leader="dot"/>
        </w:tabs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- Спорт</w:t>
      </w:r>
    </w:p>
    <w:p>
      <w:pPr>
        <w:pStyle w:val="Normal"/>
        <w:widowControl w:val="false"/>
        <w:suppressLineNumbers/>
        <w:tabs>
          <w:tab w:val="clear" w:pos="708"/>
          <w:tab w:val="right" w:pos="9360" w:leader="dot"/>
        </w:tabs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- Религиозное использование</w:t>
      </w:r>
    </w:p>
    <w:p>
      <w:pPr>
        <w:pStyle w:val="Normal"/>
        <w:widowControl w:val="false"/>
        <w:suppressLineNumbers/>
        <w:tabs>
          <w:tab w:val="clear" w:pos="708"/>
          <w:tab w:val="right" w:pos="9360" w:leader="dot"/>
        </w:tabs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- Амбулаторное ветеринарное обслуживание</w:t>
      </w:r>
    </w:p>
    <w:p>
      <w:pPr>
        <w:pStyle w:val="Normal"/>
        <w:widowControl w:val="false"/>
        <w:suppressLineNumbers/>
        <w:tabs>
          <w:tab w:val="clear" w:pos="708"/>
          <w:tab w:val="right" w:pos="9360" w:leader="dot"/>
        </w:tabs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- Земельные участки (территории) общего пользования</w:t>
      </w:r>
    </w:p>
    <w:p>
      <w:pPr>
        <w:pStyle w:val="Normal"/>
        <w:keepNext w:val="true"/>
        <w:keepLines/>
        <w:shd w:fill="FFFFFF" w:val="clear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Условно разрешенные виды использования:</w:t>
      </w:r>
    </w:p>
    <w:p>
      <w:pPr>
        <w:pStyle w:val="Normal"/>
        <w:keepNext w:val="true"/>
        <w:keepLines/>
        <w:shd w:fill="FFFFFF" w:val="clear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 xml:space="preserve">- Хранение автотранспорта </w:t>
      </w:r>
    </w:p>
    <w:p>
      <w:pPr>
        <w:pStyle w:val="Normal"/>
        <w:keepNext w:val="true"/>
        <w:keepLines/>
        <w:shd w:fill="FFFFFF" w:val="clear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 xml:space="preserve">- Размещение гаражей для собственных нужд </w:t>
      </w:r>
    </w:p>
    <w:p>
      <w:pPr>
        <w:pStyle w:val="Normal"/>
        <w:keepNext w:val="true"/>
        <w:keepLines/>
        <w:shd w:fill="FFFFFF" w:val="clear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- Служебные гаражи</w:t>
      </w:r>
    </w:p>
    <w:p>
      <w:pPr>
        <w:pStyle w:val="Normal"/>
        <w:keepNext w:val="true"/>
        <w:keepLines/>
        <w:shd w:fill="FFFFFF" w:val="clear"/>
        <w:ind w:firstLine="709" w:right="0"/>
        <w:jc w:val="both"/>
        <w:rPr/>
      </w:pPr>
      <w:r>
        <w:rPr>
          <w:rFonts w:eastAsia="Lucida Sans Unicode" w:ascii="Times New Roman" w:hAnsi="Times New Roman"/>
          <w:kern w:val="2"/>
          <w:sz w:val="26"/>
          <w:szCs w:val="26"/>
        </w:rPr>
        <w:t xml:space="preserve">-  </w:t>
      </w:r>
      <w:r>
        <w:rPr>
          <w:rStyle w:val="5"/>
          <w:rFonts w:eastAsia="Lucida Sans Unicode" w:ascii="Times New Roman" w:hAnsi="Times New Roman"/>
          <w:kern w:val="2"/>
          <w:sz w:val="26"/>
          <w:szCs w:val="26"/>
        </w:rPr>
        <w:t>Коммунальное обслуживание</w:t>
      </w:r>
    </w:p>
    <w:p>
      <w:pPr>
        <w:pStyle w:val="Normal"/>
        <w:widowControl w:val="false"/>
        <w:suppressLineNumbers/>
        <w:tabs>
          <w:tab w:val="clear" w:pos="708"/>
          <w:tab w:val="right" w:pos="9360" w:leader="dot"/>
        </w:tabs>
        <w:ind w:firstLine="709" w:right="0"/>
        <w:jc w:val="both"/>
        <w:rPr/>
      </w:pPr>
      <w:r>
        <w:rPr>
          <w:rFonts w:eastAsia="Lucida Sans Unicode" w:ascii="Times New Roman" w:hAnsi="Times New Roman"/>
          <w:kern w:val="2"/>
          <w:sz w:val="26"/>
          <w:szCs w:val="26"/>
        </w:rPr>
        <w:t>- Объекты торговли (торговые центры, торгово-развлекательные центры (комплексы)</w:t>
      </w:r>
    </w:p>
    <w:p>
      <w:pPr>
        <w:pStyle w:val="Normal"/>
        <w:keepNext w:val="true"/>
        <w:keepLines/>
        <w:shd w:fill="FFFFFF" w:val="clear"/>
        <w:ind w:firstLine="709" w:right="0"/>
        <w:jc w:val="both"/>
        <w:rPr/>
      </w:pPr>
      <w:r>
        <w:rPr>
          <w:rStyle w:val="5"/>
          <w:rFonts w:eastAsia="Lucida Sans Unicode" w:ascii="Times New Roman" w:hAnsi="Times New Roman"/>
          <w:kern w:val="2"/>
          <w:sz w:val="26"/>
          <w:szCs w:val="26"/>
        </w:rPr>
        <w:t xml:space="preserve">- </w:t>
      </w:r>
      <w:r>
        <w:rPr>
          <w:rFonts w:eastAsia="Lucida Sans Unicode" w:ascii="Times New Roman" w:hAnsi="Times New Roman"/>
          <w:kern w:val="2"/>
          <w:sz w:val="26"/>
          <w:szCs w:val="26"/>
        </w:rPr>
        <w:t>Малоэтажная многоквартирная жилая застройка</w:t>
      </w:r>
    </w:p>
    <w:p>
      <w:pPr>
        <w:pStyle w:val="Normal"/>
        <w:keepNext w:val="true"/>
        <w:keepLines/>
        <w:shd w:fill="FFFFFF" w:val="clear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- Для индивидуального жилищного строительства</w:t>
      </w:r>
    </w:p>
    <w:p>
      <w:pPr>
        <w:pStyle w:val="Normal"/>
        <w:keepNext w:val="true"/>
        <w:keepLines/>
        <w:shd w:fill="FFFFFF" w:val="clear"/>
        <w:ind w:firstLine="709" w:right="0"/>
        <w:jc w:val="both"/>
        <w:rPr/>
      </w:pPr>
      <w:r>
        <w:rPr>
          <w:rFonts w:eastAsia="Lucida Sans Unicode" w:ascii="Times New Roman" w:hAnsi="Times New Roman"/>
          <w:kern w:val="2"/>
          <w:sz w:val="26"/>
          <w:szCs w:val="26"/>
        </w:rPr>
        <w:t xml:space="preserve">- </w:t>
      </w:r>
      <w:r>
        <w:rPr>
          <w:rStyle w:val="11"/>
          <w:rFonts w:eastAsia="Lucida Sans Unicode" w:ascii="Times New Roman" w:hAnsi="Times New Roman"/>
          <w:kern w:val="2"/>
          <w:sz w:val="26"/>
          <w:szCs w:val="26"/>
        </w:rPr>
        <w:t>Блокированная жилая застройка</w:t>
      </w:r>
    </w:p>
    <w:p>
      <w:pPr>
        <w:pStyle w:val="Normal"/>
        <w:keepNext w:val="true"/>
        <w:keepLines/>
        <w:shd w:fill="FFFFFF" w:val="clear"/>
        <w:ind w:firstLine="709" w:right="0"/>
        <w:jc w:val="both"/>
        <w:rPr/>
      </w:pPr>
      <w:r>
        <w:rPr>
          <w:rFonts w:eastAsia="Lucida Sans Unicode" w:ascii="Times New Roman" w:hAnsi="Times New Roman"/>
          <w:kern w:val="2"/>
          <w:sz w:val="26"/>
          <w:szCs w:val="26"/>
        </w:rPr>
        <w:t>Вспомогательные виды разрешенного использования:</w:t>
      </w:r>
    </w:p>
    <w:p>
      <w:pPr>
        <w:pStyle w:val="Normal"/>
        <w:keepNext w:val="true"/>
        <w:keepLines/>
        <w:shd w:fill="FFFFFF" w:val="clear"/>
        <w:ind w:firstLine="709" w:right="0"/>
        <w:jc w:val="both"/>
        <w:rPr/>
      </w:pPr>
      <w:r>
        <w:rPr>
          <w:rStyle w:val="5"/>
          <w:rFonts w:eastAsia="Lucida Sans Unicode" w:ascii="Times New Roman" w:hAnsi="Times New Roman"/>
          <w:kern w:val="2"/>
          <w:sz w:val="26"/>
          <w:szCs w:val="26"/>
        </w:rPr>
        <w:t xml:space="preserve">- </w:t>
      </w:r>
      <w:r>
        <w:rPr>
          <w:rFonts w:eastAsia="Lucida Sans Unicode" w:ascii="Times New Roman" w:hAnsi="Times New Roman"/>
          <w:kern w:val="2"/>
          <w:sz w:val="26"/>
          <w:szCs w:val="26"/>
        </w:rPr>
        <w:t xml:space="preserve">Предоставление коммунальных услуг </w:t>
      </w:r>
    </w:p>
    <w:p>
      <w:pPr>
        <w:pStyle w:val="Normal"/>
        <w:widowControl w:val="false"/>
        <w:ind w:firstLine="709" w:right="0"/>
        <w:jc w:val="both"/>
        <w:rPr/>
      </w:pPr>
      <w:r>
        <w:rPr>
          <w:rFonts w:eastAsia="Lucida Sans Unicode" w:ascii="Times New Roman" w:hAnsi="Times New Roman"/>
          <w:kern w:val="2"/>
          <w:sz w:val="26"/>
          <w:szCs w:val="26"/>
        </w:rPr>
        <w:t>Параметры разрешенного использования земельных участков и объектов капитального строительства общественно-деловой зоны:</w:t>
      </w:r>
    </w:p>
    <w:p>
      <w:pPr>
        <w:pStyle w:val="4"/>
        <w:shd w:fill="auto" w:val="clear"/>
        <w:spacing w:lineRule="auto" w:line="240"/>
        <w:ind w:firstLine="709" w:right="0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 xml:space="preserve">Образование и просвещение </w:t>
      </w:r>
    </w:p>
    <w:p>
      <w:pPr>
        <w:pStyle w:val="4"/>
        <w:shd w:fill="auto" w:val="clear"/>
        <w:spacing w:lineRule="auto" w:line="240"/>
        <w:ind w:firstLine="709" w:right="0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Минимальный размер земельного участка – 0,1 га.</w:t>
      </w:r>
    </w:p>
    <w:p>
      <w:pPr>
        <w:pStyle w:val="4"/>
        <w:shd w:fill="auto" w:val="clear"/>
        <w:spacing w:lineRule="auto" w:line="240"/>
        <w:ind w:firstLine="709" w:right="0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Максимальная площадь земельного участка - 1 га</w:t>
      </w:r>
    </w:p>
    <w:p>
      <w:pPr>
        <w:pStyle w:val="Normal"/>
        <w:widowControl w:val="false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 xml:space="preserve">Этажность – до 3 этажей. </w:t>
      </w:r>
    </w:p>
    <w:p>
      <w:pPr>
        <w:pStyle w:val="Normal"/>
        <w:widowControl w:val="false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Максимальный процент застройки – 30%.</w:t>
      </w:r>
    </w:p>
    <w:p>
      <w:pPr>
        <w:pStyle w:val="Normal"/>
        <w:widowControl w:val="false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Минимальный отступ от границ земельного участка – 10 м.</w:t>
      </w:r>
    </w:p>
    <w:p>
      <w:pPr>
        <w:pStyle w:val="Normal"/>
        <w:widowControl w:val="false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Минимальный процент озеленения - 30%.</w:t>
      </w:r>
    </w:p>
    <w:p>
      <w:pPr>
        <w:pStyle w:val="Normal"/>
        <w:widowControl w:val="false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Минимальный отступ от красной линии 10 м.</w:t>
      </w:r>
    </w:p>
    <w:p>
      <w:pPr>
        <w:pStyle w:val="Normal"/>
        <w:widowControl w:val="false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 xml:space="preserve">Магазины </w:t>
      </w:r>
    </w:p>
    <w:p>
      <w:pPr>
        <w:pStyle w:val="Default"/>
        <w:widowControl w:val="false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Минимальные размеры земельного участка - 0,04 га.</w:t>
      </w:r>
    </w:p>
    <w:p>
      <w:pPr>
        <w:pStyle w:val="Default"/>
        <w:widowControl w:val="false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Максимальная площадь земельного участка – 0,5 га</w:t>
      </w:r>
    </w:p>
    <w:p>
      <w:pPr>
        <w:pStyle w:val="Normal"/>
        <w:widowControl w:val="false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 xml:space="preserve">Минимальный отступ от границы земельного участка -3 м. </w:t>
      </w:r>
    </w:p>
    <w:p>
      <w:pPr>
        <w:pStyle w:val="Normal"/>
        <w:widowControl w:val="false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Предельное количество этажей - 3.</w:t>
      </w:r>
    </w:p>
    <w:p>
      <w:pPr>
        <w:pStyle w:val="Normal"/>
        <w:widowControl w:val="false"/>
        <w:ind w:firstLine="709" w:right="0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>Максимальный процент застройки - 50 %.</w:t>
      </w:r>
    </w:p>
    <w:p>
      <w:pPr>
        <w:pStyle w:val="Normal"/>
        <w:widowControl w:val="false"/>
        <w:autoSpaceDE w:val="false"/>
        <w:jc w:val="center"/>
        <w:rPr>
          <w:rFonts w:ascii="Times New Roman" w:hAnsi="Times New Roman" w:eastAsia="Lucida Sans Unicode"/>
          <w:b/>
          <w:bCs/>
          <w:kern w:val="2"/>
          <w:sz w:val="26"/>
          <w:szCs w:val="26"/>
        </w:rPr>
      </w:pPr>
      <w:r>
        <w:rPr>
          <w:rFonts w:eastAsia="Lucida Sans Unicode" w:ascii="Times New Roman" w:hAnsi="Times New Roman"/>
          <w:b/>
          <w:bCs/>
          <w:kern w:val="2"/>
          <w:sz w:val="26"/>
          <w:szCs w:val="26"/>
        </w:rPr>
        <w:t>Заключение</w:t>
      </w:r>
    </w:p>
    <w:p>
      <w:pPr>
        <w:pStyle w:val="Normal"/>
        <w:widowControl w:val="false"/>
        <w:autoSpaceDE w:val="false"/>
        <w:jc w:val="both"/>
        <w:rPr>
          <w:rFonts w:ascii="Times New Roman" w:hAnsi="Times New Roman" w:eastAsia="Lucida Sans Unicode"/>
          <w:kern w:val="2"/>
          <w:sz w:val="26"/>
          <w:szCs w:val="26"/>
        </w:rPr>
      </w:pPr>
      <w:r>
        <w:rPr>
          <w:rFonts w:eastAsia="Lucida Sans Unicode" w:ascii="Times New Roman" w:hAnsi="Times New Roman"/>
          <w:kern w:val="2"/>
          <w:sz w:val="26"/>
          <w:szCs w:val="26"/>
        </w:rPr>
        <w:tab/>
        <w:t>Таким образом, правила землепользования и застройки – документ, устанавливающий общий порядок осуществления градостроительной деятельности на территории муниципального образования в соответствии с действующим законодательством.</w:t>
      </w:r>
    </w:p>
    <w:p>
      <w:pPr>
        <w:pStyle w:val="Normal"/>
        <w:widowControl/>
        <w:numPr>
          <w:ilvl w:val="0"/>
          <w:numId w:val="3"/>
        </w:numPr>
        <w:suppressAutoHyphens w:val="false"/>
        <w:ind w:hanging="360" w:left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Рассмотрение вопросов и предложений участников публичных слушаний.</w:t>
      </w:r>
    </w:p>
    <w:p>
      <w:pPr>
        <w:pStyle w:val="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Участники публичных слушаний предложений и замечаний, касающихся проекта Правил, для включения их в протокол публичных слушаний не выразили.</w:t>
      </w:r>
    </w:p>
    <w:p>
      <w:pPr>
        <w:pStyle w:val="Normal"/>
        <w:widowControl/>
        <w:numPr>
          <w:ilvl w:val="0"/>
          <w:numId w:val="3"/>
        </w:numPr>
        <w:suppressAutoHyphens w:val="false"/>
        <w:ind w:hanging="360" w:left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Принятие решения по проведению публичных слушаний.</w:t>
      </w:r>
    </w:p>
    <w:p>
      <w:pPr>
        <w:pStyle w:val="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результатам публичных слушаний главе района было рекомендовано принять решение о согласии с внесением изменений в «Правила землепользования и застройки части территории муниципального образования</w:t>
      </w:r>
      <w:r>
        <w:rPr/>
        <w:t xml:space="preserve"> </w:t>
      </w:r>
      <w:r>
        <w:rPr>
          <w:rFonts w:ascii="Times New Roman" w:hAnsi="Times New Roman"/>
          <w:sz w:val="26"/>
          <w:szCs w:val="26"/>
        </w:rPr>
        <w:t>сельское поселение Тягунский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 сельсовет Заринского района Алтайского края» и направлении его в Заринский районный Совет народных депутатов Алтайского края для утверждения.</w:t>
      </w:r>
      <w:r>
        <w:rPr>
          <w:rFonts w:ascii="Times New Roman" w:hAnsi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Настоящий протокол (за исключением приложения) подлежит обнародованию и размещению на официальном сайте Администрации Заринского района.</w:t>
      </w:r>
    </w:p>
    <w:p>
      <w:pPr>
        <w:pStyle w:val="Normal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tbl>
      <w:tblPr>
        <w:tblW w:w="1028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153"/>
        <w:gridCol w:w="2946"/>
        <w:gridCol w:w="2181"/>
      </w:tblGrid>
      <w:tr>
        <w:trPr/>
        <w:tc>
          <w:tcPr>
            <w:tcW w:w="5153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Заместитель председателя комиссии по разработке проекта Правил</w:t>
            </w:r>
          </w:p>
        </w:tc>
        <w:tc>
          <w:tcPr>
            <w:tcW w:w="2946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_____________________</w:t>
            </w:r>
          </w:p>
        </w:tc>
        <w:tc>
          <w:tcPr>
            <w:tcW w:w="2181" w:type="dxa"/>
            <w:tcBorders/>
            <w:shd w:color="auto" w:fill="FFFFFF" w:val="clear"/>
          </w:tcPr>
          <w:p>
            <w:pPr>
              <w:pStyle w:val="Normal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Н.В. Вахонина</w:t>
            </w:r>
          </w:p>
        </w:tc>
      </w:tr>
      <w:tr>
        <w:trPr/>
        <w:tc>
          <w:tcPr>
            <w:tcW w:w="5153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2946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2181" w:type="dxa"/>
            <w:tcBorders/>
            <w:shd w:color="auto" w:fill="FFFFFF" w:val="clear"/>
          </w:tcPr>
          <w:p>
            <w:pPr>
              <w:pStyle w:val="Normal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</w:tbl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/>
      </w:pPr>
      <w:r>
        <w:rPr/>
      </w:r>
    </w:p>
    <w:sectPr>
      <w:headerReference w:type="even" r:id="rId2"/>
      <w:headerReference w:type="default" r:id="rId3"/>
      <w:type w:val="nextPage"/>
      <w:pgSz w:w="11906" w:h="16838"/>
      <w:pgMar w:left="1276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Arial">
    <w:charset w:val="cc"/>
    <w:family w:val="swiss"/>
    <w:pitch w:val="variable"/>
  </w:font>
  <w:font w:name="Calibri">
    <w:charset w:val="cc"/>
    <w:family w:val="swiss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Header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Header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/>
    </w:lvl>
  </w:abstractNum>
  <w:abstractNum w:abstractNumId="3">
    <w:lvl w:ilvl="0">
      <w:start w:val="3"/>
      <w:numFmt w:val="decimal"/>
      <w:lvlText w:val="%1."/>
      <w:lvlJc w:val="left"/>
      <w:pPr>
        <w:tabs>
          <w:tab w:val="num" w:pos="0"/>
        </w:tabs>
        <w:ind w:left="1068" w:hanging="360"/>
      </w:pPr>
      <w:rPr>
        <w:i w:val="false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/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83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04ee8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Lucida Sans Unicode" w:cs="Times New Roman"/>
      <w:color w:val="auto"/>
      <w:kern w:val="2"/>
      <w:sz w:val="20"/>
      <w:szCs w:val="24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rsid w:val="00d04ee8"/>
    <w:pPr>
      <w:keepNext w:val="true"/>
      <w:numPr>
        <w:ilvl w:val="0"/>
        <w:numId w:val="1"/>
      </w:numPr>
      <w:jc w:val="center"/>
      <w:outlineLvl w:val="0"/>
    </w:pPr>
    <w:rPr>
      <w:rFonts w:cs="Arial"/>
      <w:b/>
      <w:sz w:val="36"/>
      <w:szCs w:val="29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qFormat/>
    <w:rsid w:val="00d04ee8"/>
    <w:rPr>
      <w:rFonts w:ascii="Arial" w:hAnsi="Arial" w:eastAsia="Lucida Sans Unicode" w:cs="Arial"/>
      <w:b/>
      <w:kern w:val="2"/>
      <w:sz w:val="36"/>
      <w:szCs w:val="29"/>
    </w:rPr>
  </w:style>
  <w:style w:type="character" w:styleId="Style13" w:customStyle="1">
    <w:name w:val="Верхний колонтитул Знак"/>
    <w:basedOn w:val="DefaultParagraphFont"/>
    <w:qFormat/>
    <w:rsid w:val="00d04ee8"/>
    <w:rPr>
      <w:sz w:val="24"/>
      <w:szCs w:val="24"/>
    </w:rPr>
  </w:style>
  <w:style w:type="character" w:styleId="Pagenumber">
    <w:name w:val="page number"/>
    <w:basedOn w:val="DefaultParagraphFont"/>
    <w:qFormat/>
    <w:rsid w:val="00d04ee8"/>
    <w:rPr/>
  </w:style>
  <w:style w:type="character" w:styleId="WW8Num14z0">
    <w:name w:val="WW8Num14z0"/>
    <w:qFormat/>
    <w:rPr/>
  </w:style>
  <w:style w:type="character" w:styleId="5">
    <w:name w:val="Основной текст (5)"/>
    <w:qFormat/>
    <w:rPr>
      <w:b/>
      <w:bCs/>
      <w:i/>
      <w:iCs/>
      <w:sz w:val="23"/>
      <w:szCs w:val="23"/>
      <w:u w:val="single"/>
      <w:shd w:fill="FFFFFF" w:val="clear"/>
      <w:lang w:bidi="ar-SA"/>
    </w:rPr>
  </w:style>
  <w:style w:type="character" w:styleId="11">
    <w:name w:val="Основной текст Знак1"/>
    <w:qFormat/>
    <w:rPr>
      <w:sz w:val="28"/>
      <w:szCs w:val="28"/>
      <w:lang w:val="ru-RU" w:bidi="ar-SA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Spacing">
    <w:name w:val="No Spacing"/>
    <w:uiPriority w:val="1"/>
    <w:qFormat/>
    <w:rsid w:val="006f2dca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ar-SA" w:val="ru-RU" w:bidi="ar-SA"/>
    </w:rPr>
  </w:style>
  <w:style w:type="paragraph" w:styleId="Style16">
    <w:name w:val="Колонтитул"/>
    <w:basedOn w:val="Normal"/>
    <w:qFormat/>
    <w:pPr/>
    <w:rPr/>
  </w:style>
  <w:style w:type="paragraph" w:styleId="Header">
    <w:name w:val="Header"/>
    <w:basedOn w:val="Normal"/>
    <w:link w:val="Style13"/>
    <w:rsid w:val="00d04ee8"/>
    <w:pPr>
      <w:widowControl/>
      <w:tabs>
        <w:tab w:val="clear" w:pos="708"/>
        <w:tab w:val="center" w:pos="4677" w:leader="none"/>
        <w:tab w:val="right" w:pos="9355" w:leader="none"/>
      </w:tabs>
      <w:suppressAutoHyphens w:val="false"/>
    </w:pPr>
    <w:rPr>
      <w:rFonts w:ascii="Times New Roman" w:hAnsi="Times New Roman" w:eastAsia="Times New Roman"/>
      <w:kern w:val="0"/>
      <w:sz w:val="24"/>
    </w:rPr>
  </w:style>
  <w:style w:type="paragraph" w:styleId="ListParagraph">
    <w:name w:val="List Paragraph"/>
    <w:basedOn w:val="Normal"/>
    <w:uiPriority w:val="34"/>
    <w:qFormat/>
    <w:rsid w:val="007041d3"/>
    <w:pPr>
      <w:spacing w:before="0" w:after="0"/>
      <w:ind w:left="720"/>
      <w:contextualSpacing/>
    </w:pPr>
    <w:rPr/>
  </w:style>
  <w:style w:type="paragraph" w:styleId="Style17">
    <w:name w:val="Содержимое врезки"/>
    <w:basedOn w:val="Normal"/>
    <w:qFormat/>
    <w:pPr/>
    <w:rPr/>
  </w:style>
  <w:style w:type="paragraph" w:styleId="BodyTextIndent">
    <w:name w:val="Body Text Indent"/>
    <w:basedOn w:val="Normal"/>
    <w:pPr>
      <w:spacing w:before="0" w:after="120"/>
      <w:ind w:firstLine="709" w:left="283" w:right="0"/>
      <w:jc w:val="both"/>
    </w:pPr>
    <w:rPr/>
  </w:style>
  <w:style w:type="paragraph" w:styleId="ConsPlusNormal">
    <w:name w:val="ConsPlusNormal"/>
    <w:qFormat/>
    <w:pPr>
      <w:widowControl w:val="false"/>
      <w:autoSpaceDE w:val="false"/>
      <w:bidi w:val="0"/>
      <w:spacing w:before="0" w:after="0"/>
      <w:ind w:firstLine="720" w:left="0" w:right="0"/>
      <w:jc w:val="left"/>
    </w:pPr>
    <w:rPr>
      <w:rFonts w:ascii="Arial" w:hAnsi="Arial" w:eastAsia="Times New Roman;Times New Roman" w:cs="Arial"/>
      <w:color w:val="auto"/>
      <w:kern w:val="0"/>
      <w:sz w:val="20"/>
      <w:szCs w:val="20"/>
      <w:lang w:val="ru-RU" w:bidi="ar-SA" w:eastAsia="ru-RU"/>
    </w:rPr>
  </w:style>
  <w:style w:type="paragraph" w:styleId="Style18">
    <w:name w:val="Обычный (веб)"/>
    <w:basedOn w:val="Normal"/>
    <w:qFormat/>
    <w:pPr>
      <w:spacing w:before="280" w:after="0"/>
      <w:jc w:val="both"/>
    </w:pPr>
    <w:rPr>
      <w:color w:val="000000"/>
    </w:rPr>
  </w:style>
  <w:style w:type="paragraph" w:styleId="Style19">
    <w:name w:val="Абзац списка"/>
    <w:basedOn w:val="Normal"/>
    <w:qFormat/>
    <w:pPr>
      <w:spacing w:lineRule="auto" w:line="276" w:before="0" w:after="200"/>
      <w:ind w:hanging="0" w:left="720" w:right="0"/>
    </w:pPr>
    <w:rPr>
      <w:rFonts w:ascii="Calibri" w:hAnsi="Calibri" w:eastAsia="Calibri" w:cs="Calibri"/>
      <w:sz w:val="22"/>
      <w:szCs w:val="22"/>
      <w:lang w:val="ru-RU"/>
    </w:rPr>
  </w:style>
  <w:style w:type="paragraph" w:styleId="4">
    <w:name w:val="Основной текст (4)"/>
    <w:basedOn w:val="Normal"/>
    <w:qFormat/>
    <w:pPr>
      <w:widowControl w:val="false"/>
      <w:shd w:fill="FFFFFF" w:val="clear"/>
      <w:spacing w:lineRule="exact" w:line="274"/>
      <w:jc w:val="both"/>
    </w:pPr>
    <w:rPr>
      <w:i/>
      <w:iCs/>
      <w:sz w:val="23"/>
      <w:szCs w:val="23"/>
      <w:shd w:fill="FFFFFF" w:val="clear"/>
      <w:lang w:val="ru-RU"/>
    </w:rPr>
  </w:style>
  <w:style w:type="paragraph" w:styleId="Default">
    <w:name w:val="Default"/>
    <w:qFormat/>
    <w:pPr>
      <w:widowControl/>
      <w:autoSpaceDE w:val="false"/>
      <w:bidi w:val="0"/>
      <w:spacing w:before="0" w:after="0"/>
      <w:jc w:val="left"/>
    </w:pPr>
    <w:rPr>
      <w:rFonts w:ascii="Times New Roman;Times New Roman" w:hAnsi="Times New Roman;Times New Roman" w:eastAsia="Calibri" w:cs="Times New Roman;Times New Roman"/>
      <w:color w:val="000000"/>
      <w:kern w:val="0"/>
      <w:sz w:val="24"/>
      <w:szCs w:val="24"/>
      <w:lang w:val="ru-RU" w:bidi="ar-SA" w:eastAsia="ru-RU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numbering" w:styleId="WW8Num14">
    <w:name w:val="WW8Num14"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Application>LibreOffice/7.6.7.2$Linux_X86_64 LibreOffice_project/60$Build-2</Application>
  <AppVersion>15.0000</AppVersion>
  <Pages>6</Pages>
  <Words>1470</Words>
  <Characters>11320</Characters>
  <CharactersWithSpaces>12688</CharactersWithSpaces>
  <Paragraphs>134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2022-05-11T05:52:00Z</dcterms:created>
  <dc:creator>Сельсовет</dc:creator>
  <dc:description/>
  <dc:language>ru-RU</dc:language>
  <cp:lastModifiedBy/>
  <cp:lastPrinted>2025-04-30T13:18:03Z</cp:lastPrinted>
  <dcterms:modified xsi:type="dcterms:W3CDTF">2025-04-30T13:18:37Z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